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E9AB" w14:textId="09FB7A84" w:rsidR="00B0490B" w:rsidRDefault="00B0490B">
      <w:r>
        <w:rPr>
          <w:noProof/>
        </w:rPr>
        <w:drawing>
          <wp:anchor distT="0" distB="0" distL="114300" distR="114300" simplePos="0" relativeHeight="251658243" behindDoc="0" locked="0" layoutInCell="1" allowOverlap="1" wp14:anchorId="55EF6C80" wp14:editId="6118A840">
            <wp:simplePos x="723331" y="1439839"/>
            <wp:positionH relativeFrom="column">
              <wp:align>left</wp:align>
            </wp:positionH>
            <wp:positionV relativeFrom="paragraph">
              <wp:align>top</wp:align>
            </wp:positionV>
            <wp:extent cx="3600450" cy="1051678"/>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1051678"/>
                    </a:xfrm>
                    <a:prstGeom prst="rect">
                      <a:avLst/>
                    </a:prstGeom>
                    <a:noFill/>
                    <a:ln>
                      <a:noFill/>
                    </a:ln>
                  </pic:spPr>
                </pic:pic>
              </a:graphicData>
            </a:graphic>
          </wp:anchor>
        </w:drawing>
      </w:r>
      <w:r w:rsidR="009860C0">
        <w:br w:type="textWrapping" w:clear="all"/>
      </w:r>
    </w:p>
    <w:p w14:paraId="040DF347" w14:textId="1D7D7B02" w:rsidR="00B0490B" w:rsidRDefault="00B0490B"/>
    <w:p w14:paraId="71E4AA7B" w14:textId="6C6D17B5" w:rsidR="00B0490B" w:rsidRDefault="00B0490B"/>
    <w:p w14:paraId="1C901B1C" w14:textId="77777777" w:rsidR="00B0490B" w:rsidRDefault="00B0490B" w:rsidP="00A75D28">
      <w:pPr>
        <w:spacing w:line="240" w:lineRule="auto"/>
        <w:ind w:left="930" w:right="-30"/>
        <w:jc w:val="right"/>
        <w:textAlignment w:val="baseline"/>
        <w:rPr>
          <w:rFonts w:ascii="Arial" w:hAnsi="Arial"/>
          <w:b/>
          <w:bCs/>
          <w:color w:val="auto"/>
          <w:sz w:val="48"/>
          <w:szCs w:val="48"/>
        </w:rPr>
      </w:pPr>
      <w:r w:rsidRPr="00B0490B">
        <w:rPr>
          <w:rFonts w:ascii="Arial" w:hAnsi="Arial"/>
          <w:b/>
          <w:bCs/>
          <w:color w:val="auto"/>
          <w:sz w:val="48"/>
          <w:szCs w:val="48"/>
        </w:rPr>
        <w:t>State Emergency Management Plan</w:t>
      </w:r>
    </w:p>
    <w:p w14:paraId="627FD02B" w14:textId="6C8745DD" w:rsidR="00B0490B" w:rsidRPr="00B0490B" w:rsidRDefault="00B0490B" w:rsidP="00A75D28">
      <w:pPr>
        <w:spacing w:line="240" w:lineRule="auto"/>
        <w:ind w:left="930" w:right="-30"/>
        <w:jc w:val="right"/>
        <w:textAlignment w:val="baseline"/>
        <w:rPr>
          <w:rFonts w:ascii="Segoe UI" w:hAnsi="Segoe UI" w:cs="Segoe UI"/>
          <w:b/>
          <w:bCs/>
          <w:color w:val="auto"/>
          <w:sz w:val="48"/>
          <w:szCs w:val="48"/>
        </w:rPr>
      </w:pPr>
      <w:r w:rsidRPr="00B0490B">
        <w:rPr>
          <w:rFonts w:ascii="Arial" w:hAnsi="Arial"/>
          <w:b/>
          <w:bCs/>
          <w:color w:val="auto"/>
          <w:sz w:val="48"/>
          <w:szCs w:val="48"/>
        </w:rPr>
        <w:t>  </w:t>
      </w:r>
    </w:p>
    <w:p w14:paraId="5C61E07B" w14:textId="6C829A17" w:rsidR="00B0490B" w:rsidRPr="00B0490B" w:rsidRDefault="00B0490B" w:rsidP="00A75D28">
      <w:pPr>
        <w:spacing w:line="240" w:lineRule="auto"/>
        <w:ind w:left="930" w:right="-30"/>
        <w:jc w:val="right"/>
        <w:textAlignment w:val="baseline"/>
        <w:rPr>
          <w:rFonts w:ascii="Segoe UI" w:hAnsi="Segoe UI" w:cs="Segoe UI"/>
          <w:b/>
          <w:bCs/>
          <w:color w:val="auto"/>
          <w:sz w:val="48"/>
          <w:szCs w:val="48"/>
        </w:rPr>
      </w:pPr>
      <w:r w:rsidRPr="00B0490B">
        <w:rPr>
          <w:rFonts w:ascii="Arial" w:hAnsi="Arial"/>
          <w:b/>
          <w:bCs/>
          <w:color w:val="auto"/>
          <w:sz w:val="48"/>
          <w:szCs w:val="48"/>
        </w:rPr>
        <w:t>Energy Sub-Plan</w:t>
      </w:r>
      <w:r w:rsidR="00A75D28">
        <w:rPr>
          <w:rFonts w:ascii="Arial" w:hAnsi="Arial"/>
          <w:b/>
          <w:bCs/>
          <w:color w:val="auto"/>
          <w:sz w:val="48"/>
          <w:szCs w:val="48"/>
        </w:rPr>
        <w:t xml:space="preserve"> 2022</w:t>
      </w:r>
    </w:p>
    <w:p w14:paraId="303371AB" w14:textId="409C6ACA" w:rsidR="00B0490B" w:rsidRDefault="00B0490B"/>
    <w:p w14:paraId="4BB98DAA" w14:textId="77777777" w:rsidR="00B0490B" w:rsidRDefault="00B0490B"/>
    <w:p w14:paraId="7125E5E7" w14:textId="6449EC88" w:rsidR="00B0490B" w:rsidRDefault="00B0490B">
      <w:r>
        <w:br w:type="page"/>
      </w:r>
    </w:p>
    <w:p w14:paraId="6EC38B42" w14:textId="77777777" w:rsidR="00A75D28" w:rsidRDefault="00A75D28" w:rsidP="00A75D28">
      <w:pPr>
        <w:spacing w:line="240" w:lineRule="auto"/>
        <w:ind w:left="270" w:right="3675"/>
        <w:textAlignment w:val="baseline"/>
        <w:rPr>
          <w:rFonts w:ascii="Arial" w:hAnsi="Arial"/>
          <w:b/>
          <w:bCs/>
          <w:color w:val="00B2A9"/>
        </w:rPr>
      </w:pPr>
      <w:r w:rsidRPr="00A75D28">
        <w:rPr>
          <w:noProof/>
        </w:rPr>
        <w:lastRenderedPageBreak/>
        <w:drawing>
          <wp:inline distT="0" distB="0" distL="0" distR="0" wp14:anchorId="4EC26B0A" wp14:editId="51FB1A9B">
            <wp:extent cx="3575050" cy="2386511"/>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050" cy="2386511"/>
                    </a:xfrm>
                    <a:prstGeom prst="rect">
                      <a:avLst/>
                    </a:prstGeom>
                    <a:noFill/>
                    <a:ln>
                      <a:noFill/>
                    </a:ln>
                  </pic:spPr>
                </pic:pic>
              </a:graphicData>
            </a:graphic>
          </wp:inline>
        </w:drawing>
      </w:r>
    </w:p>
    <w:p w14:paraId="13914164" w14:textId="0F70A055" w:rsidR="00A75D28" w:rsidRPr="00A75D28" w:rsidRDefault="00A75D28" w:rsidP="00A75D28">
      <w:pPr>
        <w:spacing w:line="240" w:lineRule="auto"/>
        <w:ind w:left="270" w:right="3675"/>
        <w:textAlignment w:val="baseline"/>
        <w:rPr>
          <w:rFonts w:ascii="Segoe UI" w:hAnsi="Segoe UI" w:cs="Segoe UI"/>
          <w:b/>
          <w:bCs/>
          <w:color w:val="00B2A9"/>
          <w:sz w:val="18"/>
          <w:szCs w:val="18"/>
        </w:rPr>
      </w:pPr>
      <w:r w:rsidRPr="00A75D28">
        <w:rPr>
          <w:rFonts w:ascii="Arial" w:hAnsi="Arial"/>
          <w:b/>
          <w:bCs/>
          <w:color w:val="00B2A9"/>
        </w:rPr>
        <w:t>Acknowledgment </w:t>
      </w:r>
    </w:p>
    <w:p w14:paraId="4DA15906" w14:textId="77777777" w:rsidR="00A75D28" w:rsidRDefault="00A75D28" w:rsidP="00A75D28">
      <w:pPr>
        <w:spacing w:line="240" w:lineRule="auto"/>
        <w:ind w:left="270" w:right="3675"/>
        <w:textAlignment w:val="baseline"/>
        <w:rPr>
          <w:rFonts w:ascii="Arial" w:hAnsi="Arial"/>
          <w:color w:val="363534"/>
          <w:sz w:val="18"/>
          <w:szCs w:val="18"/>
        </w:rPr>
      </w:pPr>
    </w:p>
    <w:p w14:paraId="46865C3D" w14:textId="4D3A38C9" w:rsidR="00A75D28" w:rsidRPr="00A75D28" w:rsidRDefault="00A75D28" w:rsidP="00A75D28">
      <w:pPr>
        <w:spacing w:line="240" w:lineRule="auto"/>
        <w:ind w:left="270" w:right="3675"/>
        <w:textAlignment w:val="baseline"/>
        <w:rPr>
          <w:rFonts w:ascii="Segoe UI" w:hAnsi="Segoe UI" w:cs="Segoe UI"/>
          <w:color w:val="363534"/>
          <w:sz w:val="18"/>
          <w:szCs w:val="18"/>
        </w:rPr>
      </w:pPr>
      <w:r w:rsidRPr="00A75D28">
        <w:rPr>
          <w:rFonts w:ascii="Arial" w:hAnsi="Arial"/>
          <w:color w:val="363534"/>
          <w:sz w:val="18"/>
          <w:szCs w:val="18"/>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0ACBF31C" w14:textId="77777777" w:rsidR="00A75D28" w:rsidRDefault="00A75D28" w:rsidP="00A75D28">
      <w:pPr>
        <w:spacing w:line="240" w:lineRule="auto"/>
        <w:ind w:left="270" w:right="3105"/>
        <w:textAlignment w:val="baseline"/>
        <w:rPr>
          <w:rFonts w:ascii="Arial" w:hAnsi="Arial"/>
          <w:color w:val="363534"/>
          <w:sz w:val="18"/>
          <w:szCs w:val="18"/>
        </w:rPr>
      </w:pPr>
    </w:p>
    <w:p w14:paraId="2B8D71DE" w14:textId="64DCEF0F" w:rsidR="00A75D28" w:rsidRPr="00A75D28" w:rsidRDefault="00A75D28" w:rsidP="00A75D28">
      <w:pPr>
        <w:spacing w:line="240" w:lineRule="auto"/>
        <w:ind w:left="270" w:right="3105"/>
        <w:textAlignment w:val="baseline"/>
        <w:rPr>
          <w:rFonts w:ascii="Segoe UI" w:hAnsi="Segoe UI" w:cs="Segoe UI"/>
          <w:color w:val="363534"/>
          <w:sz w:val="18"/>
          <w:szCs w:val="18"/>
        </w:rPr>
      </w:pPr>
      <w:r w:rsidRPr="00A75D28">
        <w:rPr>
          <w:rFonts w:ascii="Arial" w:hAnsi="Arial"/>
          <w:color w:val="363534"/>
          <w:sz w:val="18"/>
          <w:szCs w:val="18"/>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030403EA" w14:textId="77777777" w:rsidR="00B0490B" w:rsidRDefault="00B0490B"/>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Caption w:val="Creative Commons Logo"/>
      </w:tblPr>
      <w:tblGrid>
        <w:gridCol w:w="7370"/>
      </w:tblGrid>
      <w:tr w:rsidR="00D73B6C" w14:paraId="02059C91" w14:textId="77777777" w:rsidTr="00421E6F">
        <w:trPr>
          <w:trHeight w:hRule="exact" w:val="2948"/>
        </w:trPr>
        <w:tc>
          <w:tcPr>
            <w:tcW w:w="7370" w:type="dxa"/>
            <w:vAlign w:val="center"/>
          </w:tcPr>
          <w:sdt>
            <w:sdtPr>
              <w:rPr>
                <w:b w:val="0"/>
                <w:iCs/>
                <w:spacing w:val="0"/>
                <w:sz w:val="32"/>
                <w:szCs w:val="24"/>
              </w:rPr>
              <w:alias w:val="CoverTitle"/>
              <w:tag w:val="CoverTitle"/>
              <w:id w:val="360867710"/>
              <w:lock w:val="sdtContentLocked"/>
              <w:placeholder>
                <w:docPart w:val="D6486425CA6F44FDA3E452BC2539B6EA"/>
              </w:placeholder>
            </w:sdtPr>
            <w:sdtEndPr/>
            <w:sdtContent>
              <w:p w14:paraId="6D46D843" w14:textId="77777777" w:rsidR="00DF6361" w:rsidRDefault="00DF6361" w:rsidP="00DF6361">
                <w:pPr>
                  <w:pStyle w:val="Title"/>
                </w:pPr>
                <w:r>
                  <w:t xml:space="preserve">State Emergency Management Plan </w:t>
                </w:r>
              </w:p>
              <w:p w14:paraId="1D0323A0" w14:textId="77777777" w:rsidR="00DF6361" w:rsidRDefault="00DF6361" w:rsidP="00DF6361">
                <w:pPr>
                  <w:pStyle w:val="Subtitle"/>
                </w:pPr>
                <w:r>
                  <w:t>Energy Sub-Plan (2022)</w:t>
                </w:r>
              </w:p>
              <w:p w14:paraId="5DC24CB5" w14:textId="51E36E16" w:rsidR="00512DFB" w:rsidRPr="00CB1FB7" w:rsidRDefault="00B21C7F" w:rsidP="00CD4964">
                <w:pPr>
                  <w:pStyle w:val="Subtitle"/>
                </w:pPr>
              </w:p>
            </w:sdtContent>
          </w:sdt>
        </w:tc>
      </w:tr>
    </w:tbl>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reative Commons Logo"/>
      </w:tblPr>
      <w:tblGrid>
        <w:gridCol w:w="9360"/>
      </w:tblGrid>
      <w:tr w:rsidR="00B0490B" w:rsidRPr="00B0490B" w14:paraId="4A766EC9" w14:textId="77777777" w:rsidTr="00B0490B">
        <w:tc>
          <w:tcPr>
            <w:tcW w:w="9360" w:type="dxa"/>
            <w:tcBorders>
              <w:top w:val="nil"/>
              <w:left w:val="nil"/>
              <w:bottom w:val="nil"/>
              <w:right w:val="nil"/>
            </w:tcBorders>
            <w:shd w:val="clear" w:color="auto" w:fill="auto"/>
            <w:vAlign w:val="bottom"/>
            <w:hideMark/>
          </w:tcPr>
          <w:p w14:paraId="1BE87A50" w14:textId="77777777" w:rsidR="00B0490B" w:rsidRDefault="00B0490B" w:rsidP="00B0490B">
            <w:r w:rsidRPr="00B0490B">
              <w:t>© The State of Victoria Department of Environment, Land, Water and Planning 2022</w:t>
            </w:r>
          </w:p>
          <w:p w14:paraId="150E44B5" w14:textId="777D45B7" w:rsidR="00B0490B" w:rsidRPr="00B0490B" w:rsidRDefault="00B0490B" w:rsidP="00B0490B">
            <w:r w:rsidRPr="00B0490B">
              <w:t> </w:t>
            </w:r>
          </w:p>
          <w:p w14:paraId="5F6E7FBC" w14:textId="13482B2E" w:rsidR="00B0490B" w:rsidRPr="00B0490B" w:rsidRDefault="00B0490B" w:rsidP="00B0490B">
            <w:r w:rsidRPr="00B0490B">
              <w:rPr>
                <w:noProof/>
              </w:rPr>
              <w:drawing>
                <wp:inline distT="0" distB="0" distL="0" distR="0" wp14:anchorId="2C3C15C8" wp14:editId="0150C953">
                  <wp:extent cx="666750" cy="2413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241300"/>
                          </a:xfrm>
                          <a:prstGeom prst="rect">
                            <a:avLst/>
                          </a:prstGeom>
                          <a:noFill/>
                          <a:ln>
                            <a:noFill/>
                          </a:ln>
                        </pic:spPr>
                      </pic:pic>
                    </a:graphicData>
                  </a:graphic>
                </wp:inline>
              </w:drawing>
            </w:r>
            <w:r w:rsidRPr="00B0490B">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B0490B">
              <w:t>photographs</w:t>
            </w:r>
            <w:proofErr w:type="gramEnd"/>
            <w:r w:rsidRPr="00B0490B">
              <w:t xml:space="preserve"> or branding, including the Victorian Coat of Arms, the Victorian Government logo and the Department of Environment, Land, Water and Planning (DELWP) logo. To view a copy of this licence, visit </w:t>
            </w:r>
            <w:hyperlink r:id="rId17" w:tgtFrame="_blank" w:history="1">
              <w:r w:rsidRPr="00B0490B">
                <w:rPr>
                  <w:rStyle w:val="Hyperlink"/>
                </w:rPr>
                <w:t>http://creativecommons.org/licenses/by/4.0/</w:t>
              </w:r>
            </w:hyperlink>
            <w:r w:rsidRPr="00B0490B">
              <w:t>  </w:t>
            </w:r>
          </w:p>
          <w:p w14:paraId="2D27410A" w14:textId="77777777" w:rsidR="00B0490B" w:rsidRPr="00B0490B" w:rsidRDefault="00B0490B" w:rsidP="00B0490B">
            <w:r w:rsidRPr="00B0490B">
              <w:t>Printed by  </w:t>
            </w:r>
          </w:p>
          <w:p w14:paraId="55F6EC21" w14:textId="77777777" w:rsidR="00B0490B" w:rsidRPr="00B0490B" w:rsidRDefault="00B0490B" w:rsidP="00B0490B">
            <w:r w:rsidRPr="00B0490B">
              <w:t>ISBN (print)  </w:t>
            </w:r>
          </w:p>
          <w:p w14:paraId="7CCDA379" w14:textId="77777777" w:rsidR="00B0490B" w:rsidRPr="00B0490B" w:rsidRDefault="00B0490B" w:rsidP="00B0490B">
            <w:r w:rsidRPr="00B0490B">
              <w:t>ISBN (pdf) </w:t>
            </w:r>
          </w:p>
          <w:p w14:paraId="137E7967" w14:textId="77777777" w:rsidR="00B0490B" w:rsidRDefault="00B0490B" w:rsidP="00B0490B">
            <w:pPr>
              <w:rPr>
                <w:b/>
                <w:bCs/>
              </w:rPr>
            </w:pPr>
          </w:p>
          <w:p w14:paraId="780551F7" w14:textId="152A5152" w:rsidR="00B0490B" w:rsidRPr="00B0490B" w:rsidRDefault="00B0490B" w:rsidP="00B0490B">
            <w:pPr>
              <w:rPr>
                <w:b/>
                <w:bCs/>
              </w:rPr>
            </w:pPr>
            <w:r w:rsidRPr="00B0490B">
              <w:rPr>
                <w:b/>
                <w:bCs/>
              </w:rPr>
              <w:t>Disclaimer </w:t>
            </w:r>
          </w:p>
          <w:p w14:paraId="7F26580E" w14:textId="77777777" w:rsidR="00B0490B" w:rsidRPr="00B0490B" w:rsidRDefault="00B0490B" w:rsidP="00B0490B">
            <w:r w:rsidRPr="00B0490B">
              <w:t>This publication may be of assistance to </w:t>
            </w:r>
            <w:proofErr w:type="gramStart"/>
            <w:r w:rsidRPr="00B0490B">
              <w:t>you</w:t>
            </w:r>
            <w:proofErr w:type="gramEnd"/>
            <w:r w:rsidRPr="00B0490B">
              <w:t>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18D5BE2E" w14:textId="77777777" w:rsidR="00B0490B" w:rsidRDefault="00B0490B" w:rsidP="00B0490B">
            <w:pPr>
              <w:rPr>
                <w:b/>
                <w:bCs/>
              </w:rPr>
            </w:pPr>
          </w:p>
          <w:p w14:paraId="7D0CFD81" w14:textId="76042A40" w:rsidR="00B0490B" w:rsidRPr="00B0490B" w:rsidRDefault="00B0490B" w:rsidP="00B0490B">
            <w:pPr>
              <w:rPr>
                <w:b/>
                <w:bCs/>
              </w:rPr>
            </w:pPr>
            <w:r w:rsidRPr="00B0490B">
              <w:rPr>
                <w:b/>
                <w:bCs/>
              </w:rPr>
              <w:t>Accessibility </w:t>
            </w:r>
          </w:p>
          <w:p w14:paraId="1D4EA9B8" w14:textId="5023DB3A" w:rsidR="00D17372" w:rsidRDefault="00D17372" w:rsidP="00B0490B"/>
          <w:p w14:paraId="766637C5" w14:textId="712BBBDA" w:rsidR="00B0490B" w:rsidRPr="00B0490B" w:rsidRDefault="00D17372" w:rsidP="00B0490B">
            <w:r>
              <w:t>If you would like to receive this publication in an alternative format, please telephone the DELWP Customer Service Centre on 136186, email </w:t>
            </w:r>
            <w:r w:rsidR="00A83326" w:rsidRPr="00A83326">
              <w:t>customer.service@delwp.vic.gov.au.</w:t>
            </w:r>
          </w:p>
        </w:tc>
      </w:tr>
    </w:tbl>
    <w:p w14:paraId="2538F7F3" w14:textId="3DB00C34" w:rsidR="00D73B6C" w:rsidRDefault="00D73B6C"/>
    <w:p w14:paraId="57C9FD21" w14:textId="273E0DEF" w:rsidR="00004237" w:rsidRPr="00C4364B" w:rsidRDefault="00FB5D61" w:rsidP="00C4364B">
      <w:pPr>
        <w:pStyle w:val="TOCHeading"/>
        <w:framePr w:wrap="around"/>
      </w:pPr>
      <w:r w:rsidRPr="00C4364B">
        <w:lastRenderedPageBreak/>
        <w:t>Contents</w:t>
      </w:r>
      <w:bookmarkStart w:id="0" w:name="_TOCMarker"/>
      <w:bookmarkEnd w:id="0"/>
    </w:p>
    <w:p w14:paraId="77603CD1" w14:textId="7CAC3005" w:rsidR="00A75D28" w:rsidRDefault="001F5D92">
      <w:pPr>
        <w:pStyle w:val="TOC1"/>
        <w:rPr>
          <w:rFonts w:eastAsiaTheme="minorEastAsia" w:cstheme="minorBidi"/>
          <w:b w:val="0"/>
          <w:color w:val="auto"/>
          <w:sz w:val="22"/>
          <w:szCs w:val="22"/>
        </w:rPr>
      </w:pPr>
      <w:r>
        <w:fldChar w:fldCharType="begin"/>
      </w:r>
      <w:r>
        <w:instrText xml:space="preserve"> TOC \o "1-</w:instrText>
      </w:r>
      <w:r w:rsidR="003636EA">
        <w:instrText>3</w:instrText>
      </w:r>
      <w:r>
        <w:instrText xml:space="preserve">" \h \z \t "Heading 8,8,Section Heading,5" </w:instrText>
      </w:r>
      <w:r>
        <w:fldChar w:fldCharType="separate"/>
      </w:r>
      <w:hyperlink w:anchor="_Toc94013154" w:history="1">
        <w:r w:rsidR="00A75D28" w:rsidRPr="0051648A">
          <w:rPr>
            <w:rStyle w:val="Hyperlink"/>
          </w:rPr>
          <w:t>Introduction</w:t>
        </w:r>
        <w:r w:rsidR="00A75D28">
          <w:rPr>
            <w:webHidden/>
          </w:rPr>
          <w:tab/>
        </w:r>
        <w:r w:rsidR="00A75D28">
          <w:rPr>
            <w:webHidden/>
          </w:rPr>
          <w:fldChar w:fldCharType="begin"/>
        </w:r>
        <w:r w:rsidR="00A75D28">
          <w:rPr>
            <w:webHidden/>
          </w:rPr>
          <w:instrText xml:space="preserve"> PAGEREF _Toc94013154 \h </w:instrText>
        </w:r>
        <w:r w:rsidR="00A75D28">
          <w:rPr>
            <w:webHidden/>
          </w:rPr>
        </w:r>
        <w:r w:rsidR="00A75D28">
          <w:rPr>
            <w:webHidden/>
          </w:rPr>
          <w:fldChar w:fldCharType="separate"/>
        </w:r>
        <w:r w:rsidR="00A75D28">
          <w:rPr>
            <w:webHidden/>
          </w:rPr>
          <w:t>5</w:t>
        </w:r>
        <w:r w:rsidR="00A75D28">
          <w:rPr>
            <w:webHidden/>
          </w:rPr>
          <w:fldChar w:fldCharType="end"/>
        </w:r>
      </w:hyperlink>
    </w:p>
    <w:p w14:paraId="420A08A0" w14:textId="186ED3C0" w:rsidR="00A75D28" w:rsidRDefault="00B21C7F">
      <w:pPr>
        <w:pStyle w:val="TOC2"/>
        <w:rPr>
          <w:rFonts w:eastAsiaTheme="minorEastAsia" w:cstheme="minorBidi"/>
          <w:b w:val="0"/>
          <w:color w:val="auto"/>
          <w:sz w:val="22"/>
          <w:szCs w:val="22"/>
        </w:rPr>
      </w:pPr>
      <w:hyperlink w:anchor="_Toc94013155" w:history="1">
        <w:r w:rsidR="00A75D28" w:rsidRPr="0051648A">
          <w:rPr>
            <w:rStyle w:val="Hyperlink"/>
          </w:rPr>
          <w:t>Purpose</w:t>
        </w:r>
        <w:r w:rsidR="00A75D28">
          <w:rPr>
            <w:webHidden/>
          </w:rPr>
          <w:tab/>
        </w:r>
        <w:r w:rsidR="00A75D28">
          <w:rPr>
            <w:webHidden/>
          </w:rPr>
          <w:fldChar w:fldCharType="begin"/>
        </w:r>
        <w:r w:rsidR="00A75D28">
          <w:rPr>
            <w:webHidden/>
          </w:rPr>
          <w:instrText xml:space="preserve"> PAGEREF _Toc94013155 \h </w:instrText>
        </w:r>
        <w:r w:rsidR="00A75D28">
          <w:rPr>
            <w:webHidden/>
          </w:rPr>
        </w:r>
        <w:r w:rsidR="00A75D28">
          <w:rPr>
            <w:webHidden/>
          </w:rPr>
          <w:fldChar w:fldCharType="separate"/>
        </w:r>
        <w:r w:rsidR="00A75D28">
          <w:rPr>
            <w:webHidden/>
          </w:rPr>
          <w:t>5</w:t>
        </w:r>
        <w:r w:rsidR="00A75D28">
          <w:rPr>
            <w:webHidden/>
          </w:rPr>
          <w:fldChar w:fldCharType="end"/>
        </w:r>
      </w:hyperlink>
    </w:p>
    <w:p w14:paraId="15F9AEC8" w14:textId="5D861129" w:rsidR="00A75D28" w:rsidRDefault="00B21C7F">
      <w:pPr>
        <w:pStyle w:val="TOC2"/>
        <w:rPr>
          <w:rFonts w:eastAsiaTheme="minorEastAsia" w:cstheme="minorBidi"/>
          <w:b w:val="0"/>
          <w:color w:val="auto"/>
          <w:sz w:val="22"/>
          <w:szCs w:val="22"/>
        </w:rPr>
      </w:pPr>
      <w:hyperlink w:anchor="_Toc94013156" w:history="1">
        <w:r w:rsidR="00A75D28" w:rsidRPr="0051648A">
          <w:rPr>
            <w:rStyle w:val="Hyperlink"/>
          </w:rPr>
          <w:t>Value</w:t>
        </w:r>
        <w:r w:rsidR="00A75D28">
          <w:rPr>
            <w:webHidden/>
          </w:rPr>
          <w:tab/>
        </w:r>
        <w:r w:rsidR="00A75D28">
          <w:rPr>
            <w:webHidden/>
          </w:rPr>
          <w:fldChar w:fldCharType="begin"/>
        </w:r>
        <w:r w:rsidR="00A75D28">
          <w:rPr>
            <w:webHidden/>
          </w:rPr>
          <w:instrText xml:space="preserve"> PAGEREF _Toc94013156 \h </w:instrText>
        </w:r>
        <w:r w:rsidR="00A75D28">
          <w:rPr>
            <w:webHidden/>
          </w:rPr>
        </w:r>
        <w:r w:rsidR="00A75D28">
          <w:rPr>
            <w:webHidden/>
          </w:rPr>
          <w:fldChar w:fldCharType="separate"/>
        </w:r>
        <w:r w:rsidR="00A75D28">
          <w:rPr>
            <w:webHidden/>
          </w:rPr>
          <w:t>5</w:t>
        </w:r>
        <w:r w:rsidR="00A75D28">
          <w:rPr>
            <w:webHidden/>
          </w:rPr>
          <w:fldChar w:fldCharType="end"/>
        </w:r>
      </w:hyperlink>
    </w:p>
    <w:p w14:paraId="26B2DB2A" w14:textId="1A00A7A2" w:rsidR="00A75D28" w:rsidRDefault="00B21C7F">
      <w:pPr>
        <w:pStyle w:val="TOC2"/>
        <w:rPr>
          <w:rFonts w:eastAsiaTheme="minorEastAsia" w:cstheme="minorBidi"/>
          <w:b w:val="0"/>
          <w:color w:val="auto"/>
          <w:sz w:val="22"/>
          <w:szCs w:val="22"/>
        </w:rPr>
      </w:pPr>
      <w:hyperlink w:anchor="_Toc94013157" w:history="1">
        <w:r w:rsidR="00A75D28" w:rsidRPr="0051648A">
          <w:rPr>
            <w:rStyle w:val="Hyperlink"/>
          </w:rPr>
          <w:t>Audience</w:t>
        </w:r>
        <w:r w:rsidR="00A75D28">
          <w:rPr>
            <w:webHidden/>
          </w:rPr>
          <w:tab/>
        </w:r>
        <w:r w:rsidR="00A75D28">
          <w:rPr>
            <w:webHidden/>
          </w:rPr>
          <w:fldChar w:fldCharType="begin"/>
        </w:r>
        <w:r w:rsidR="00A75D28">
          <w:rPr>
            <w:webHidden/>
          </w:rPr>
          <w:instrText xml:space="preserve"> PAGEREF _Toc94013157 \h </w:instrText>
        </w:r>
        <w:r w:rsidR="00A75D28">
          <w:rPr>
            <w:webHidden/>
          </w:rPr>
        </w:r>
        <w:r w:rsidR="00A75D28">
          <w:rPr>
            <w:webHidden/>
          </w:rPr>
          <w:fldChar w:fldCharType="separate"/>
        </w:r>
        <w:r w:rsidR="00A75D28">
          <w:rPr>
            <w:webHidden/>
          </w:rPr>
          <w:t>5</w:t>
        </w:r>
        <w:r w:rsidR="00A75D28">
          <w:rPr>
            <w:webHidden/>
          </w:rPr>
          <w:fldChar w:fldCharType="end"/>
        </w:r>
      </w:hyperlink>
    </w:p>
    <w:p w14:paraId="368EB00D" w14:textId="766F1155" w:rsidR="00A75D28" w:rsidRDefault="00B21C7F">
      <w:pPr>
        <w:pStyle w:val="TOC2"/>
        <w:rPr>
          <w:rFonts w:eastAsiaTheme="minorEastAsia" w:cstheme="minorBidi"/>
          <w:b w:val="0"/>
          <w:color w:val="auto"/>
          <w:sz w:val="22"/>
          <w:szCs w:val="22"/>
        </w:rPr>
      </w:pPr>
      <w:hyperlink w:anchor="_Toc94013158" w:history="1">
        <w:r w:rsidR="00A75D28" w:rsidRPr="0051648A">
          <w:rPr>
            <w:rStyle w:val="Hyperlink"/>
          </w:rPr>
          <w:t>Scope</w:t>
        </w:r>
        <w:r w:rsidR="00A75D28">
          <w:rPr>
            <w:webHidden/>
          </w:rPr>
          <w:tab/>
        </w:r>
        <w:r w:rsidR="00A75D28">
          <w:rPr>
            <w:webHidden/>
          </w:rPr>
          <w:fldChar w:fldCharType="begin"/>
        </w:r>
        <w:r w:rsidR="00A75D28">
          <w:rPr>
            <w:webHidden/>
          </w:rPr>
          <w:instrText xml:space="preserve"> PAGEREF _Toc94013158 \h </w:instrText>
        </w:r>
        <w:r w:rsidR="00A75D28">
          <w:rPr>
            <w:webHidden/>
          </w:rPr>
        </w:r>
        <w:r w:rsidR="00A75D28">
          <w:rPr>
            <w:webHidden/>
          </w:rPr>
          <w:fldChar w:fldCharType="separate"/>
        </w:r>
        <w:r w:rsidR="00A75D28">
          <w:rPr>
            <w:webHidden/>
          </w:rPr>
          <w:t>5</w:t>
        </w:r>
        <w:r w:rsidR="00A75D28">
          <w:rPr>
            <w:webHidden/>
          </w:rPr>
          <w:fldChar w:fldCharType="end"/>
        </w:r>
      </w:hyperlink>
    </w:p>
    <w:p w14:paraId="1B04BBBD" w14:textId="0983076C" w:rsidR="00A75D28" w:rsidRDefault="00B21C7F">
      <w:pPr>
        <w:pStyle w:val="TOC2"/>
        <w:rPr>
          <w:rFonts w:eastAsiaTheme="minorEastAsia" w:cstheme="minorBidi"/>
          <w:b w:val="0"/>
          <w:color w:val="auto"/>
          <w:sz w:val="22"/>
          <w:szCs w:val="22"/>
        </w:rPr>
      </w:pPr>
      <w:hyperlink w:anchor="_Toc94013159" w:history="1">
        <w:r w:rsidR="00A75D28" w:rsidRPr="0051648A">
          <w:rPr>
            <w:rStyle w:val="Hyperlink"/>
          </w:rPr>
          <w:t>Linkages</w:t>
        </w:r>
        <w:r w:rsidR="00A75D28">
          <w:rPr>
            <w:webHidden/>
          </w:rPr>
          <w:tab/>
        </w:r>
        <w:r w:rsidR="00A75D28">
          <w:rPr>
            <w:webHidden/>
          </w:rPr>
          <w:fldChar w:fldCharType="begin"/>
        </w:r>
        <w:r w:rsidR="00A75D28">
          <w:rPr>
            <w:webHidden/>
          </w:rPr>
          <w:instrText xml:space="preserve"> PAGEREF _Toc94013159 \h </w:instrText>
        </w:r>
        <w:r w:rsidR="00A75D28">
          <w:rPr>
            <w:webHidden/>
          </w:rPr>
        </w:r>
        <w:r w:rsidR="00A75D28">
          <w:rPr>
            <w:webHidden/>
          </w:rPr>
          <w:fldChar w:fldCharType="separate"/>
        </w:r>
        <w:r w:rsidR="00A75D28">
          <w:rPr>
            <w:webHidden/>
          </w:rPr>
          <w:t>6</w:t>
        </w:r>
        <w:r w:rsidR="00A75D28">
          <w:rPr>
            <w:webHidden/>
          </w:rPr>
          <w:fldChar w:fldCharType="end"/>
        </w:r>
      </w:hyperlink>
    </w:p>
    <w:p w14:paraId="1FA31369" w14:textId="3149CEAA" w:rsidR="00A75D28" w:rsidRDefault="00B21C7F">
      <w:pPr>
        <w:pStyle w:val="TOC2"/>
        <w:rPr>
          <w:rFonts w:eastAsiaTheme="minorEastAsia" w:cstheme="minorBidi"/>
          <w:b w:val="0"/>
          <w:color w:val="auto"/>
          <w:sz w:val="22"/>
          <w:szCs w:val="22"/>
        </w:rPr>
      </w:pPr>
      <w:hyperlink w:anchor="_Toc94013160" w:history="1">
        <w:r w:rsidR="00A75D28" w:rsidRPr="0051648A">
          <w:rPr>
            <w:rStyle w:val="Hyperlink"/>
          </w:rPr>
          <w:t>Implementation</w:t>
        </w:r>
        <w:r w:rsidR="00A75D28">
          <w:rPr>
            <w:webHidden/>
          </w:rPr>
          <w:tab/>
        </w:r>
        <w:r w:rsidR="00A75D28">
          <w:rPr>
            <w:webHidden/>
          </w:rPr>
          <w:fldChar w:fldCharType="begin"/>
        </w:r>
        <w:r w:rsidR="00A75D28">
          <w:rPr>
            <w:webHidden/>
          </w:rPr>
          <w:instrText xml:space="preserve"> PAGEREF _Toc94013160 \h </w:instrText>
        </w:r>
        <w:r w:rsidR="00A75D28">
          <w:rPr>
            <w:webHidden/>
          </w:rPr>
        </w:r>
        <w:r w:rsidR="00A75D28">
          <w:rPr>
            <w:webHidden/>
          </w:rPr>
          <w:fldChar w:fldCharType="separate"/>
        </w:r>
        <w:r w:rsidR="00A75D28">
          <w:rPr>
            <w:webHidden/>
          </w:rPr>
          <w:t>7</w:t>
        </w:r>
        <w:r w:rsidR="00A75D28">
          <w:rPr>
            <w:webHidden/>
          </w:rPr>
          <w:fldChar w:fldCharType="end"/>
        </w:r>
      </w:hyperlink>
    </w:p>
    <w:p w14:paraId="4E2C5D23" w14:textId="2A5DE834" w:rsidR="00A75D28" w:rsidRDefault="00B21C7F">
      <w:pPr>
        <w:pStyle w:val="TOC2"/>
        <w:rPr>
          <w:rFonts w:eastAsiaTheme="minorEastAsia" w:cstheme="minorBidi"/>
          <w:b w:val="0"/>
          <w:color w:val="auto"/>
          <w:sz w:val="22"/>
          <w:szCs w:val="22"/>
        </w:rPr>
      </w:pPr>
      <w:hyperlink w:anchor="_Toc94013161" w:history="1">
        <w:r w:rsidR="00A75D28" w:rsidRPr="0051648A">
          <w:rPr>
            <w:rStyle w:val="Hyperlink"/>
          </w:rPr>
          <w:t>Authorising environment</w:t>
        </w:r>
        <w:r w:rsidR="00A75D28">
          <w:rPr>
            <w:webHidden/>
          </w:rPr>
          <w:tab/>
        </w:r>
        <w:r w:rsidR="00A75D28">
          <w:rPr>
            <w:webHidden/>
          </w:rPr>
          <w:fldChar w:fldCharType="begin"/>
        </w:r>
        <w:r w:rsidR="00A75D28">
          <w:rPr>
            <w:webHidden/>
          </w:rPr>
          <w:instrText xml:space="preserve"> PAGEREF _Toc94013161 \h </w:instrText>
        </w:r>
        <w:r w:rsidR="00A75D28">
          <w:rPr>
            <w:webHidden/>
          </w:rPr>
        </w:r>
        <w:r w:rsidR="00A75D28">
          <w:rPr>
            <w:webHidden/>
          </w:rPr>
          <w:fldChar w:fldCharType="separate"/>
        </w:r>
        <w:r w:rsidR="00A75D28">
          <w:rPr>
            <w:webHidden/>
          </w:rPr>
          <w:t>7</w:t>
        </w:r>
        <w:r w:rsidR="00A75D28">
          <w:rPr>
            <w:webHidden/>
          </w:rPr>
          <w:fldChar w:fldCharType="end"/>
        </w:r>
      </w:hyperlink>
    </w:p>
    <w:p w14:paraId="16FDF82F" w14:textId="5E5AB766" w:rsidR="00A75D28" w:rsidRDefault="00B21C7F">
      <w:pPr>
        <w:pStyle w:val="TOC2"/>
        <w:rPr>
          <w:rFonts w:eastAsiaTheme="minorEastAsia" w:cstheme="minorBidi"/>
          <w:b w:val="0"/>
          <w:color w:val="auto"/>
          <w:sz w:val="22"/>
          <w:szCs w:val="22"/>
        </w:rPr>
      </w:pPr>
      <w:hyperlink w:anchor="_Toc94013162" w:history="1">
        <w:r w:rsidR="00A75D28" w:rsidRPr="0051648A">
          <w:rPr>
            <w:rStyle w:val="Hyperlink"/>
          </w:rPr>
          <w:t>Review</w:t>
        </w:r>
        <w:r w:rsidR="00A75D28">
          <w:rPr>
            <w:webHidden/>
          </w:rPr>
          <w:tab/>
        </w:r>
        <w:r w:rsidR="00A75D28">
          <w:rPr>
            <w:webHidden/>
          </w:rPr>
          <w:fldChar w:fldCharType="begin"/>
        </w:r>
        <w:r w:rsidR="00A75D28">
          <w:rPr>
            <w:webHidden/>
          </w:rPr>
          <w:instrText xml:space="preserve"> PAGEREF _Toc94013162 \h </w:instrText>
        </w:r>
        <w:r w:rsidR="00A75D28">
          <w:rPr>
            <w:webHidden/>
          </w:rPr>
        </w:r>
        <w:r w:rsidR="00A75D28">
          <w:rPr>
            <w:webHidden/>
          </w:rPr>
          <w:fldChar w:fldCharType="separate"/>
        </w:r>
        <w:r w:rsidR="00A75D28">
          <w:rPr>
            <w:webHidden/>
          </w:rPr>
          <w:t>7</w:t>
        </w:r>
        <w:r w:rsidR="00A75D28">
          <w:rPr>
            <w:webHidden/>
          </w:rPr>
          <w:fldChar w:fldCharType="end"/>
        </w:r>
      </w:hyperlink>
    </w:p>
    <w:p w14:paraId="2826EF34" w14:textId="6CED1898" w:rsidR="00A75D28" w:rsidRDefault="00B21C7F">
      <w:pPr>
        <w:pStyle w:val="TOC1"/>
        <w:rPr>
          <w:rFonts w:eastAsiaTheme="minorEastAsia" w:cstheme="minorBidi"/>
          <w:b w:val="0"/>
          <w:color w:val="auto"/>
          <w:sz w:val="22"/>
          <w:szCs w:val="22"/>
        </w:rPr>
      </w:pPr>
      <w:hyperlink w:anchor="_Toc94013163" w:history="1">
        <w:r w:rsidR="00A75D28" w:rsidRPr="0051648A">
          <w:rPr>
            <w:rStyle w:val="Hyperlink"/>
          </w:rPr>
          <w:t>The Victorian energy sector: electricity, gas and liquid fuels</w:t>
        </w:r>
        <w:r w:rsidR="00A75D28">
          <w:rPr>
            <w:webHidden/>
          </w:rPr>
          <w:tab/>
        </w:r>
        <w:r w:rsidR="00A75D28">
          <w:rPr>
            <w:webHidden/>
          </w:rPr>
          <w:fldChar w:fldCharType="begin"/>
        </w:r>
        <w:r w:rsidR="00A75D28">
          <w:rPr>
            <w:webHidden/>
          </w:rPr>
          <w:instrText xml:space="preserve"> PAGEREF _Toc94013163 \h </w:instrText>
        </w:r>
        <w:r w:rsidR="00A75D28">
          <w:rPr>
            <w:webHidden/>
          </w:rPr>
        </w:r>
        <w:r w:rsidR="00A75D28">
          <w:rPr>
            <w:webHidden/>
          </w:rPr>
          <w:fldChar w:fldCharType="separate"/>
        </w:r>
        <w:r w:rsidR="00A75D28">
          <w:rPr>
            <w:webHidden/>
          </w:rPr>
          <w:t>8</w:t>
        </w:r>
        <w:r w:rsidR="00A75D28">
          <w:rPr>
            <w:webHidden/>
          </w:rPr>
          <w:fldChar w:fldCharType="end"/>
        </w:r>
      </w:hyperlink>
    </w:p>
    <w:p w14:paraId="78B36658" w14:textId="37EEEC77" w:rsidR="00A75D28" w:rsidRDefault="00B21C7F">
      <w:pPr>
        <w:pStyle w:val="TOC2"/>
        <w:rPr>
          <w:rFonts w:eastAsiaTheme="minorEastAsia" w:cstheme="minorBidi"/>
          <w:b w:val="0"/>
          <w:color w:val="auto"/>
          <w:sz w:val="22"/>
          <w:szCs w:val="22"/>
        </w:rPr>
      </w:pPr>
      <w:hyperlink w:anchor="_Toc94013164" w:history="1">
        <w:r w:rsidR="00A75D28" w:rsidRPr="0051648A">
          <w:rPr>
            <w:rStyle w:val="Hyperlink"/>
          </w:rPr>
          <w:t>Electricity</w:t>
        </w:r>
        <w:r w:rsidR="00A75D28">
          <w:rPr>
            <w:webHidden/>
          </w:rPr>
          <w:tab/>
        </w:r>
        <w:r w:rsidR="00A75D28">
          <w:rPr>
            <w:webHidden/>
          </w:rPr>
          <w:fldChar w:fldCharType="begin"/>
        </w:r>
        <w:r w:rsidR="00A75D28">
          <w:rPr>
            <w:webHidden/>
          </w:rPr>
          <w:instrText xml:space="preserve"> PAGEREF _Toc94013164 \h </w:instrText>
        </w:r>
        <w:r w:rsidR="00A75D28">
          <w:rPr>
            <w:webHidden/>
          </w:rPr>
        </w:r>
        <w:r w:rsidR="00A75D28">
          <w:rPr>
            <w:webHidden/>
          </w:rPr>
          <w:fldChar w:fldCharType="separate"/>
        </w:r>
        <w:r w:rsidR="00A75D28">
          <w:rPr>
            <w:webHidden/>
          </w:rPr>
          <w:t>8</w:t>
        </w:r>
        <w:r w:rsidR="00A75D28">
          <w:rPr>
            <w:webHidden/>
          </w:rPr>
          <w:fldChar w:fldCharType="end"/>
        </w:r>
      </w:hyperlink>
    </w:p>
    <w:p w14:paraId="156A309D" w14:textId="6459723C" w:rsidR="00A75D28" w:rsidRDefault="00B21C7F">
      <w:pPr>
        <w:pStyle w:val="TOC2"/>
        <w:rPr>
          <w:rFonts w:eastAsiaTheme="minorEastAsia" w:cstheme="minorBidi"/>
          <w:b w:val="0"/>
          <w:color w:val="auto"/>
          <w:sz w:val="22"/>
          <w:szCs w:val="22"/>
        </w:rPr>
      </w:pPr>
      <w:hyperlink w:anchor="_Toc94013165" w:history="1">
        <w:r w:rsidR="00A75D28" w:rsidRPr="0051648A">
          <w:rPr>
            <w:rStyle w:val="Hyperlink"/>
          </w:rPr>
          <w:t>Gas</w:t>
        </w:r>
        <w:r w:rsidR="00A75D28">
          <w:rPr>
            <w:webHidden/>
          </w:rPr>
          <w:tab/>
        </w:r>
        <w:r w:rsidR="00A75D28">
          <w:rPr>
            <w:webHidden/>
          </w:rPr>
          <w:fldChar w:fldCharType="begin"/>
        </w:r>
        <w:r w:rsidR="00A75D28">
          <w:rPr>
            <w:webHidden/>
          </w:rPr>
          <w:instrText xml:space="preserve"> PAGEREF _Toc94013165 \h </w:instrText>
        </w:r>
        <w:r w:rsidR="00A75D28">
          <w:rPr>
            <w:webHidden/>
          </w:rPr>
        </w:r>
        <w:r w:rsidR="00A75D28">
          <w:rPr>
            <w:webHidden/>
          </w:rPr>
          <w:fldChar w:fldCharType="separate"/>
        </w:r>
        <w:r w:rsidR="00A75D28">
          <w:rPr>
            <w:webHidden/>
          </w:rPr>
          <w:t>8</w:t>
        </w:r>
        <w:r w:rsidR="00A75D28">
          <w:rPr>
            <w:webHidden/>
          </w:rPr>
          <w:fldChar w:fldCharType="end"/>
        </w:r>
      </w:hyperlink>
    </w:p>
    <w:p w14:paraId="25D7A737" w14:textId="08D30957" w:rsidR="00A75D28" w:rsidRDefault="00B21C7F">
      <w:pPr>
        <w:pStyle w:val="TOC2"/>
        <w:rPr>
          <w:rFonts w:eastAsiaTheme="minorEastAsia" w:cstheme="minorBidi"/>
          <w:b w:val="0"/>
          <w:color w:val="auto"/>
          <w:sz w:val="22"/>
          <w:szCs w:val="22"/>
        </w:rPr>
      </w:pPr>
      <w:hyperlink w:anchor="_Toc94013166" w:history="1">
        <w:r w:rsidR="00A75D28" w:rsidRPr="0051648A">
          <w:rPr>
            <w:rStyle w:val="Hyperlink"/>
          </w:rPr>
          <w:t>Liquid fuels</w:t>
        </w:r>
        <w:r w:rsidR="00A75D28">
          <w:rPr>
            <w:webHidden/>
          </w:rPr>
          <w:tab/>
        </w:r>
        <w:r w:rsidR="00A75D28">
          <w:rPr>
            <w:webHidden/>
          </w:rPr>
          <w:fldChar w:fldCharType="begin"/>
        </w:r>
        <w:r w:rsidR="00A75D28">
          <w:rPr>
            <w:webHidden/>
          </w:rPr>
          <w:instrText xml:space="preserve"> PAGEREF _Toc94013166 \h </w:instrText>
        </w:r>
        <w:r w:rsidR="00A75D28">
          <w:rPr>
            <w:webHidden/>
          </w:rPr>
        </w:r>
        <w:r w:rsidR="00A75D28">
          <w:rPr>
            <w:webHidden/>
          </w:rPr>
          <w:fldChar w:fldCharType="separate"/>
        </w:r>
        <w:r w:rsidR="00A75D28">
          <w:rPr>
            <w:webHidden/>
          </w:rPr>
          <w:t>9</w:t>
        </w:r>
        <w:r w:rsidR="00A75D28">
          <w:rPr>
            <w:webHidden/>
          </w:rPr>
          <w:fldChar w:fldCharType="end"/>
        </w:r>
      </w:hyperlink>
    </w:p>
    <w:p w14:paraId="5D36BAF3" w14:textId="74772054" w:rsidR="00A75D28" w:rsidRDefault="00B21C7F">
      <w:pPr>
        <w:pStyle w:val="TOC2"/>
        <w:rPr>
          <w:rFonts w:eastAsiaTheme="minorEastAsia" w:cstheme="minorBidi"/>
          <w:b w:val="0"/>
          <w:color w:val="auto"/>
          <w:sz w:val="22"/>
          <w:szCs w:val="22"/>
        </w:rPr>
      </w:pPr>
      <w:hyperlink w:anchor="_Toc94013167" w:history="1">
        <w:r w:rsidR="00A75D28" w:rsidRPr="0051648A">
          <w:rPr>
            <w:rStyle w:val="Hyperlink"/>
          </w:rPr>
          <w:t>Key risks and vulnerabilities</w:t>
        </w:r>
        <w:r w:rsidR="00A75D28">
          <w:rPr>
            <w:webHidden/>
          </w:rPr>
          <w:tab/>
        </w:r>
        <w:r w:rsidR="00A75D28">
          <w:rPr>
            <w:webHidden/>
          </w:rPr>
          <w:fldChar w:fldCharType="begin"/>
        </w:r>
        <w:r w:rsidR="00A75D28">
          <w:rPr>
            <w:webHidden/>
          </w:rPr>
          <w:instrText xml:space="preserve"> PAGEREF _Toc94013167 \h </w:instrText>
        </w:r>
        <w:r w:rsidR="00A75D28">
          <w:rPr>
            <w:webHidden/>
          </w:rPr>
        </w:r>
        <w:r w:rsidR="00A75D28">
          <w:rPr>
            <w:webHidden/>
          </w:rPr>
          <w:fldChar w:fldCharType="separate"/>
        </w:r>
        <w:r w:rsidR="00A75D28">
          <w:rPr>
            <w:webHidden/>
          </w:rPr>
          <w:t>10</w:t>
        </w:r>
        <w:r w:rsidR="00A75D28">
          <w:rPr>
            <w:webHidden/>
          </w:rPr>
          <w:fldChar w:fldCharType="end"/>
        </w:r>
      </w:hyperlink>
    </w:p>
    <w:p w14:paraId="17AEF18B" w14:textId="0102A3C6" w:rsidR="00A75D28" w:rsidRDefault="00B21C7F">
      <w:pPr>
        <w:pStyle w:val="TOC1"/>
        <w:rPr>
          <w:rFonts w:eastAsiaTheme="minorEastAsia" w:cstheme="minorBidi"/>
          <w:b w:val="0"/>
          <w:color w:val="auto"/>
          <w:sz w:val="22"/>
          <w:szCs w:val="22"/>
        </w:rPr>
      </w:pPr>
      <w:hyperlink w:anchor="_Toc94013168" w:history="1">
        <w:r w:rsidR="00A75D28" w:rsidRPr="0051648A">
          <w:rPr>
            <w:rStyle w:val="Hyperlink"/>
          </w:rPr>
          <w:t>Energy emergencies</w:t>
        </w:r>
        <w:r w:rsidR="00A75D28">
          <w:rPr>
            <w:webHidden/>
          </w:rPr>
          <w:tab/>
        </w:r>
        <w:r w:rsidR="00A75D28">
          <w:rPr>
            <w:webHidden/>
          </w:rPr>
          <w:fldChar w:fldCharType="begin"/>
        </w:r>
        <w:r w:rsidR="00A75D28">
          <w:rPr>
            <w:webHidden/>
          </w:rPr>
          <w:instrText xml:space="preserve"> PAGEREF _Toc94013168 \h </w:instrText>
        </w:r>
        <w:r w:rsidR="00A75D28">
          <w:rPr>
            <w:webHidden/>
          </w:rPr>
        </w:r>
        <w:r w:rsidR="00A75D28">
          <w:rPr>
            <w:webHidden/>
          </w:rPr>
          <w:fldChar w:fldCharType="separate"/>
        </w:r>
        <w:r w:rsidR="00A75D28">
          <w:rPr>
            <w:webHidden/>
          </w:rPr>
          <w:t>11</w:t>
        </w:r>
        <w:r w:rsidR="00A75D28">
          <w:rPr>
            <w:webHidden/>
          </w:rPr>
          <w:fldChar w:fldCharType="end"/>
        </w:r>
      </w:hyperlink>
    </w:p>
    <w:p w14:paraId="2D751F3D" w14:textId="1921B883" w:rsidR="00A75D28" w:rsidRDefault="00B21C7F">
      <w:pPr>
        <w:pStyle w:val="TOC2"/>
        <w:rPr>
          <w:rFonts w:eastAsiaTheme="minorEastAsia" w:cstheme="minorBidi"/>
          <w:b w:val="0"/>
          <w:color w:val="auto"/>
          <w:sz w:val="22"/>
          <w:szCs w:val="22"/>
        </w:rPr>
      </w:pPr>
      <w:hyperlink w:anchor="_Toc94013169" w:history="1">
        <w:r w:rsidR="00A75D28" w:rsidRPr="0051648A">
          <w:rPr>
            <w:rStyle w:val="Hyperlink"/>
          </w:rPr>
          <w:t>Levels of energy emergencies</w:t>
        </w:r>
        <w:r w:rsidR="00A75D28">
          <w:rPr>
            <w:webHidden/>
          </w:rPr>
          <w:tab/>
        </w:r>
        <w:r w:rsidR="00A75D28">
          <w:rPr>
            <w:webHidden/>
          </w:rPr>
          <w:fldChar w:fldCharType="begin"/>
        </w:r>
        <w:r w:rsidR="00A75D28">
          <w:rPr>
            <w:webHidden/>
          </w:rPr>
          <w:instrText xml:space="preserve"> PAGEREF _Toc94013169 \h </w:instrText>
        </w:r>
        <w:r w:rsidR="00A75D28">
          <w:rPr>
            <w:webHidden/>
          </w:rPr>
        </w:r>
        <w:r w:rsidR="00A75D28">
          <w:rPr>
            <w:webHidden/>
          </w:rPr>
          <w:fldChar w:fldCharType="separate"/>
        </w:r>
        <w:r w:rsidR="00A75D28">
          <w:rPr>
            <w:webHidden/>
          </w:rPr>
          <w:t>12</w:t>
        </w:r>
        <w:r w:rsidR="00A75D28">
          <w:rPr>
            <w:webHidden/>
          </w:rPr>
          <w:fldChar w:fldCharType="end"/>
        </w:r>
      </w:hyperlink>
    </w:p>
    <w:p w14:paraId="013C346A" w14:textId="111DFA49" w:rsidR="00A75D28" w:rsidRDefault="00B21C7F">
      <w:pPr>
        <w:pStyle w:val="TOC1"/>
        <w:rPr>
          <w:rFonts w:eastAsiaTheme="minorEastAsia" w:cstheme="minorBidi"/>
          <w:b w:val="0"/>
          <w:color w:val="auto"/>
          <w:sz w:val="22"/>
          <w:szCs w:val="22"/>
        </w:rPr>
      </w:pPr>
      <w:hyperlink w:anchor="_Toc94013170" w:history="1">
        <w:r w:rsidR="00A75D28" w:rsidRPr="0051648A">
          <w:rPr>
            <w:rStyle w:val="Hyperlink"/>
          </w:rPr>
          <w:t>Mitigation</w:t>
        </w:r>
        <w:r w:rsidR="00A75D28">
          <w:rPr>
            <w:webHidden/>
          </w:rPr>
          <w:tab/>
        </w:r>
        <w:r w:rsidR="00A75D28">
          <w:rPr>
            <w:webHidden/>
          </w:rPr>
          <w:fldChar w:fldCharType="begin"/>
        </w:r>
        <w:r w:rsidR="00A75D28">
          <w:rPr>
            <w:webHidden/>
          </w:rPr>
          <w:instrText xml:space="preserve"> PAGEREF _Toc94013170 \h </w:instrText>
        </w:r>
        <w:r w:rsidR="00A75D28">
          <w:rPr>
            <w:webHidden/>
          </w:rPr>
        </w:r>
        <w:r w:rsidR="00A75D28">
          <w:rPr>
            <w:webHidden/>
          </w:rPr>
          <w:fldChar w:fldCharType="separate"/>
        </w:r>
        <w:r w:rsidR="00A75D28">
          <w:rPr>
            <w:webHidden/>
          </w:rPr>
          <w:t>13</w:t>
        </w:r>
        <w:r w:rsidR="00A75D28">
          <w:rPr>
            <w:webHidden/>
          </w:rPr>
          <w:fldChar w:fldCharType="end"/>
        </w:r>
      </w:hyperlink>
    </w:p>
    <w:p w14:paraId="7DB38465" w14:textId="60645191" w:rsidR="00A75D28" w:rsidRDefault="00B21C7F">
      <w:pPr>
        <w:pStyle w:val="TOC2"/>
        <w:rPr>
          <w:rFonts w:eastAsiaTheme="minorEastAsia" w:cstheme="minorBidi"/>
          <w:b w:val="0"/>
          <w:color w:val="auto"/>
          <w:sz w:val="22"/>
          <w:szCs w:val="22"/>
        </w:rPr>
      </w:pPr>
      <w:hyperlink w:anchor="_Toc94013171" w:history="1">
        <w:r w:rsidR="00A75D28" w:rsidRPr="0051648A">
          <w:rPr>
            <w:rStyle w:val="Hyperlink"/>
          </w:rPr>
          <w:t>Roles and responsibilities</w:t>
        </w:r>
        <w:r w:rsidR="00A75D28">
          <w:rPr>
            <w:webHidden/>
          </w:rPr>
          <w:tab/>
        </w:r>
        <w:r w:rsidR="00A75D28">
          <w:rPr>
            <w:webHidden/>
          </w:rPr>
          <w:fldChar w:fldCharType="begin"/>
        </w:r>
        <w:r w:rsidR="00A75D28">
          <w:rPr>
            <w:webHidden/>
          </w:rPr>
          <w:instrText xml:space="preserve"> PAGEREF _Toc94013171 \h </w:instrText>
        </w:r>
        <w:r w:rsidR="00A75D28">
          <w:rPr>
            <w:webHidden/>
          </w:rPr>
        </w:r>
        <w:r w:rsidR="00A75D28">
          <w:rPr>
            <w:webHidden/>
          </w:rPr>
          <w:fldChar w:fldCharType="separate"/>
        </w:r>
        <w:r w:rsidR="00A75D28">
          <w:rPr>
            <w:webHidden/>
          </w:rPr>
          <w:t>13</w:t>
        </w:r>
        <w:r w:rsidR="00A75D28">
          <w:rPr>
            <w:webHidden/>
          </w:rPr>
          <w:fldChar w:fldCharType="end"/>
        </w:r>
      </w:hyperlink>
    </w:p>
    <w:p w14:paraId="6AEB183E" w14:textId="5F2D463E" w:rsidR="00A75D28" w:rsidRDefault="00B21C7F">
      <w:pPr>
        <w:pStyle w:val="TOC2"/>
        <w:rPr>
          <w:rFonts w:eastAsiaTheme="minorEastAsia" w:cstheme="minorBidi"/>
          <w:b w:val="0"/>
          <w:color w:val="auto"/>
          <w:sz w:val="22"/>
          <w:szCs w:val="22"/>
        </w:rPr>
      </w:pPr>
      <w:hyperlink w:anchor="_Toc94013172" w:history="1">
        <w:r w:rsidR="00A75D28" w:rsidRPr="0051648A">
          <w:rPr>
            <w:rStyle w:val="Hyperlink"/>
          </w:rPr>
          <w:t>Planning</w:t>
        </w:r>
        <w:r w:rsidR="00A75D28">
          <w:rPr>
            <w:webHidden/>
          </w:rPr>
          <w:tab/>
        </w:r>
        <w:r w:rsidR="00A75D28">
          <w:rPr>
            <w:webHidden/>
          </w:rPr>
          <w:fldChar w:fldCharType="begin"/>
        </w:r>
        <w:r w:rsidR="00A75D28">
          <w:rPr>
            <w:webHidden/>
          </w:rPr>
          <w:instrText xml:space="preserve"> PAGEREF _Toc94013172 \h </w:instrText>
        </w:r>
        <w:r w:rsidR="00A75D28">
          <w:rPr>
            <w:webHidden/>
          </w:rPr>
        </w:r>
        <w:r w:rsidR="00A75D28">
          <w:rPr>
            <w:webHidden/>
          </w:rPr>
          <w:fldChar w:fldCharType="separate"/>
        </w:r>
        <w:r w:rsidR="00A75D28">
          <w:rPr>
            <w:webHidden/>
          </w:rPr>
          <w:t>13</w:t>
        </w:r>
        <w:r w:rsidR="00A75D28">
          <w:rPr>
            <w:webHidden/>
          </w:rPr>
          <w:fldChar w:fldCharType="end"/>
        </w:r>
      </w:hyperlink>
    </w:p>
    <w:p w14:paraId="580DEA26" w14:textId="65DBBF49" w:rsidR="00A75D28" w:rsidRDefault="00B21C7F">
      <w:pPr>
        <w:pStyle w:val="TOC3"/>
        <w:rPr>
          <w:b w:val="0"/>
          <w:color w:val="auto"/>
          <w:sz w:val="22"/>
          <w:szCs w:val="22"/>
        </w:rPr>
      </w:pPr>
      <w:hyperlink w:anchor="_Toc94013173" w:history="1">
        <w:r w:rsidR="00A75D28" w:rsidRPr="0051648A">
          <w:rPr>
            <w:rStyle w:val="Hyperlink"/>
          </w:rPr>
          <w:t>Regional Emergency Management Planning</w:t>
        </w:r>
        <w:r w:rsidR="00A75D28">
          <w:rPr>
            <w:webHidden/>
          </w:rPr>
          <w:tab/>
        </w:r>
        <w:r w:rsidR="00A75D28">
          <w:rPr>
            <w:webHidden/>
          </w:rPr>
          <w:fldChar w:fldCharType="begin"/>
        </w:r>
        <w:r w:rsidR="00A75D28">
          <w:rPr>
            <w:webHidden/>
          </w:rPr>
          <w:instrText xml:space="preserve"> PAGEREF _Toc94013173 \h </w:instrText>
        </w:r>
        <w:r w:rsidR="00A75D28">
          <w:rPr>
            <w:webHidden/>
          </w:rPr>
        </w:r>
        <w:r w:rsidR="00A75D28">
          <w:rPr>
            <w:webHidden/>
          </w:rPr>
          <w:fldChar w:fldCharType="separate"/>
        </w:r>
        <w:r w:rsidR="00A75D28">
          <w:rPr>
            <w:webHidden/>
          </w:rPr>
          <w:t>13</w:t>
        </w:r>
        <w:r w:rsidR="00A75D28">
          <w:rPr>
            <w:webHidden/>
          </w:rPr>
          <w:fldChar w:fldCharType="end"/>
        </w:r>
      </w:hyperlink>
    </w:p>
    <w:p w14:paraId="28DC95BD" w14:textId="51CD981F" w:rsidR="00A75D28" w:rsidRDefault="00B21C7F">
      <w:pPr>
        <w:pStyle w:val="TOC3"/>
        <w:rPr>
          <w:b w:val="0"/>
          <w:color w:val="auto"/>
          <w:sz w:val="22"/>
          <w:szCs w:val="22"/>
        </w:rPr>
      </w:pPr>
      <w:hyperlink w:anchor="_Toc94013174" w:history="1">
        <w:r w:rsidR="00A75D28" w:rsidRPr="0051648A">
          <w:rPr>
            <w:rStyle w:val="Hyperlink"/>
          </w:rPr>
          <w:t>Municipal Emergency Management Planning</w:t>
        </w:r>
        <w:r w:rsidR="00A75D28">
          <w:rPr>
            <w:webHidden/>
          </w:rPr>
          <w:tab/>
        </w:r>
        <w:r w:rsidR="00A75D28">
          <w:rPr>
            <w:webHidden/>
          </w:rPr>
          <w:fldChar w:fldCharType="begin"/>
        </w:r>
        <w:r w:rsidR="00A75D28">
          <w:rPr>
            <w:webHidden/>
          </w:rPr>
          <w:instrText xml:space="preserve"> PAGEREF _Toc94013174 \h </w:instrText>
        </w:r>
        <w:r w:rsidR="00A75D28">
          <w:rPr>
            <w:webHidden/>
          </w:rPr>
        </w:r>
        <w:r w:rsidR="00A75D28">
          <w:rPr>
            <w:webHidden/>
          </w:rPr>
          <w:fldChar w:fldCharType="separate"/>
        </w:r>
        <w:r w:rsidR="00A75D28">
          <w:rPr>
            <w:webHidden/>
          </w:rPr>
          <w:t>14</w:t>
        </w:r>
        <w:r w:rsidR="00A75D28">
          <w:rPr>
            <w:webHidden/>
          </w:rPr>
          <w:fldChar w:fldCharType="end"/>
        </w:r>
      </w:hyperlink>
    </w:p>
    <w:p w14:paraId="316936A6" w14:textId="482142C2" w:rsidR="00A75D28" w:rsidRDefault="00B21C7F">
      <w:pPr>
        <w:pStyle w:val="TOC3"/>
        <w:rPr>
          <w:b w:val="0"/>
          <w:color w:val="auto"/>
          <w:sz w:val="22"/>
          <w:szCs w:val="22"/>
        </w:rPr>
      </w:pPr>
      <w:hyperlink w:anchor="_Toc94013175" w:history="1">
        <w:r w:rsidR="00A75D28" w:rsidRPr="0051648A">
          <w:rPr>
            <w:rStyle w:val="Hyperlink"/>
          </w:rPr>
          <w:t>Vital Critical Infrastructure Emergency Management Planning</w:t>
        </w:r>
        <w:r w:rsidR="00A75D28">
          <w:rPr>
            <w:webHidden/>
          </w:rPr>
          <w:tab/>
        </w:r>
        <w:r w:rsidR="00A75D28">
          <w:rPr>
            <w:webHidden/>
          </w:rPr>
          <w:fldChar w:fldCharType="begin"/>
        </w:r>
        <w:r w:rsidR="00A75D28">
          <w:rPr>
            <w:webHidden/>
          </w:rPr>
          <w:instrText xml:space="preserve"> PAGEREF _Toc94013175 \h </w:instrText>
        </w:r>
        <w:r w:rsidR="00A75D28">
          <w:rPr>
            <w:webHidden/>
          </w:rPr>
        </w:r>
        <w:r w:rsidR="00A75D28">
          <w:rPr>
            <w:webHidden/>
          </w:rPr>
          <w:fldChar w:fldCharType="separate"/>
        </w:r>
        <w:r w:rsidR="00A75D28">
          <w:rPr>
            <w:webHidden/>
          </w:rPr>
          <w:t>14</w:t>
        </w:r>
        <w:r w:rsidR="00A75D28">
          <w:rPr>
            <w:webHidden/>
          </w:rPr>
          <w:fldChar w:fldCharType="end"/>
        </w:r>
      </w:hyperlink>
    </w:p>
    <w:p w14:paraId="2C62409E" w14:textId="630E56C6" w:rsidR="00A75D28" w:rsidRDefault="00B21C7F">
      <w:pPr>
        <w:pStyle w:val="TOC3"/>
        <w:rPr>
          <w:b w:val="0"/>
          <w:color w:val="auto"/>
          <w:sz w:val="22"/>
          <w:szCs w:val="22"/>
        </w:rPr>
      </w:pPr>
      <w:hyperlink w:anchor="_Toc94013176" w:history="1">
        <w:r w:rsidR="00A75D28" w:rsidRPr="0051648A">
          <w:rPr>
            <w:rStyle w:val="Hyperlink"/>
          </w:rPr>
          <w:t>Sector Resilience Plans</w:t>
        </w:r>
        <w:r w:rsidR="00A75D28">
          <w:rPr>
            <w:webHidden/>
          </w:rPr>
          <w:tab/>
        </w:r>
        <w:r w:rsidR="00A75D28">
          <w:rPr>
            <w:webHidden/>
          </w:rPr>
          <w:fldChar w:fldCharType="begin"/>
        </w:r>
        <w:r w:rsidR="00A75D28">
          <w:rPr>
            <w:webHidden/>
          </w:rPr>
          <w:instrText xml:space="preserve"> PAGEREF _Toc94013176 \h </w:instrText>
        </w:r>
        <w:r w:rsidR="00A75D28">
          <w:rPr>
            <w:webHidden/>
          </w:rPr>
        </w:r>
        <w:r w:rsidR="00A75D28">
          <w:rPr>
            <w:webHidden/>
          </w:rPr>
          <w:fldChar w:fldCharType="separate"/>
        </w:r>
        <w:r w:rsidR="00A75D28">
          <w:rPr>
            <w:webHidden/>
          </w:rPr>
          <w:t>14</w:t>
        </w:r>
        <w:r w:rsidR="00A75D28">
          <w:rPr>
            <w:webHidden/>
          </w:rPr>
          <w:fldChar w:fldCharType="end"/>
        </w:r>
      </w:hyperlink>
    </w:p>
    <w:p w14:paraId="5055BDB9" w14:textId="07BBE922" w:rsidR="00A75D28" w:rsidRDefault="00B21C7F">
      <w:pPr>
        <w:pStyle w:val="TOC3"/>
        <w:rPr>
          <w:b w:val="0"/>
          <w:color w:val="auto"/>
          <w:sz w:val="22"/>
          <w:szCs w:val="22"/>
        </w:rPr>
      </w:pPr>
      <w:hyperlink w:anchor="_Toc94013177" w:history="1">
        <w:r w:rsidR="00A75D28" w:rsidRPr="0051648A">
          <w:rPr>
            <w:rStyle w:val="Hyperlink"/>
          </w:rPr>
          <w:t>The Electricity Statement of Opportunities (ESOO) and Gas Statement of Opportunities (GSOO)</w:t>
        </w:r>
        <w:r w:rsidR="00A75D28">
          <w:rPr>
            <w:webHidden/>
          </w:rPr>
          <w:tab/>
        </w:r>
        <w:r w:rsidR="00A75D28">
          <w:rPr>
            <w:webHidden/>
          </w:rPr>
          <w:fldChar w:fldCharType="begin"/>
        </w:r>
        <w:r w:rsidR="00A75D28">
          <w:rPr>
            <w:webHidden/>
          </w:rPr>
          <w:instrText xml:space="preserve"> PAGEREF _Toc94013177 \h </w:instrText>
        </w:r>
        <w:r w:rsidR="00A75D28">
          <w:rPr>
            <w:webHidden/>
          </w:rPr>
        </w:r>
        <w:r w:rsidR="00A75D28">
          <w:rPr>
            <w:webHidden/>
          </w:rPr>
          <w:fldChar w:fldCharType="separate"/>
        </w:r>
        <w:r w:rsidR="00A75D28">
          <w:rPr>
            <w:webHidden/>
          </w:rPr>
          <w:t>14</w:t>
        </w:r>
        <w:r w:rsidR="00A75D28">
          <w:rPr>
            <w:webHidden/>
          </w:rPr>
          <w:fldChar w:fldCharType="end"/>
        </w:r>
      </w:hyperlink>
    </w:p>
    <w:p w14:paraId="045C3143" w14:textId="75786207" w:rsidR="00A75D28" w:rsidRDefault="00B21C7F">
      <w:pPr>
        <w:pStyle w:val="TOC2"/>
        <w:rPr>
          <w:rFonts w:eastAsiaTheme="minorEastAsia" w:cstheme="minorBidi"/>
          <w:b w:val="0"/>
          <w:color w:val="auto"/>
          <w:sz w:val="22"/>
          <w:szCs w:val="22"/>
        </w:rPr>
      </w:pPr>
      <w:hyperlink w:anchor="_Toc94013178" w:history="1">
        <w:r w:rsidR="00A75D28" w:rsidRPr="0051648A">
          <w:rPr>
            <w:rStyle w:val="Hyperlink"/>
          </w:rPr>
          <w:t>Preparedness</w:t>
        </w:r>
        <w:r w:rsidR="00A75D28">
          <w:rPr>
            <w:webHidden/>
          </w:rPr>
          <w:tab/>
        </w:r>
        <w:r w:rsidR="00A75D28">
          <w:rPr>
            <w:webHidden/>
          </w:rPr>
          <w:fldChar w:fldCharType="begin"/>
        </w:r>
        <w:r w:rsidR="00A75D28">
          <w:rPr>
            <w:webHidden/>
          </w:rPr>
          <w:instrText xml:space="preserve"> PAGEREF _Toc94013178 \h </w:instrText>
        </w:r>
        <w:r w:rsidR="00A75D28">
          <w:rPr>
            <w:webHidden/>
          </w:rPr>
        </w:r>
        <w:r w:rsidR="00A75D28">
          <w:rPr>
            <w:webHidden/>
          </w:rPr>
          <w:fldChar w:fldCharType="separate"/>
        </w:r>
        <w:r w:rsidR="00A75D28">
          <w:rPr>
            <w:webHidden/>
          </w:rPr>
          <w:t>14</w:t>
        </w:r>
        <w:r w:rsidR="00A75D28">
          <w:rPr>
            <w:webHidden/>
          </w:rPr>
          <w:fldChar w:fldCharType="end"/>
        </w:r>
      </w:hyperlink>
    </w:p>
    <w:p w14:paraId="5FDA7CA7" w14:textId="7C53BE79" w:rsidR="00A75D28" w:rsidRDefault="00B21C7F">
      <w:pPr>
        <w:pStyle w:val="TOC2"/>
        <w:rPr>
          <w:rFonts w:eastAsiaTheme="minorEastAsia" w:cstheme="minorBidi"/>
          <w:b w:val="0"/>
          <w:color w:val="auto"/>
          <w:sz w:val="22"/>
          <w:szCs w:val="22"/>
        </w:rPr>
      </w:pPr>
      <w:hyperlink w:anchor="_Toc94013179" w:history="1">
        <w:r w:rsidR="00A75D28" w:rsidRPr="0051648A">
          <w:rPr>
            <w:rStyle w:val="Hyperlink"/>
          </w:rPr>
          <w:t>Regulation</w:t>
        </w:r>
        <w:r w:rsidR="00A75D28">
          <w:rPr>
            <w:webHidden/>
          </w:rPr>
          <w:tab/>
        </w:r>
        <w:r w:rsidR="00A75D28">
          <w:rPr>
            <w:webHidden/>
          </w:rPr>
          <w:fldChar w:fldCharType="begin"/>
        </w:r>
        <w:r w:rsidR="00A75D28">
          <w:rPr>
            <w:webHidden/>
          </w:rPr>
          <w:instrText xml:space="preserve"> PAGEREF _Toc94013179 \h </w:instrText>
        </w:r>
        <w:r w:rsidR="00A75D28">
          <w:rPr>
            <w:webHidden/>
          </w:rPr>
        </w:r>
        <w:r w:rsidR="00A75D28">
          <w:rPr>
            <w:webHidden/>
          </w:rPr>
          <w:fldChar w:fldCharType="separate"/>
        </w:r>
        <w:r w:rsidR="00A75D28">
          <w:rPr>
            <w:webHidden/>
          </w:rPr>
          <w:t>15</w:t>
        </w:r>
        <w:r w:rsidR="00A75D28">
          <w:rPr>
            <w:webHidden/>
          </w:rPr>
          <w:fldChar w:fldCharType="end"/>
        </w:r>
      </w:hyperlink>
    </w:p>
    <w:p w14:paraId="5BECFE0A" w14:textId="2284BE7F" w:rsidR="00A75D28" w:rsidRDefault="00B21C7F">
      <w:pPr>
        <w:pStyle w:val="TOC3"/>
        <w:rPr>
          <w:b w:val="0"/>
          <w:color w:val="auto"/>
          <w:sz w:val="22"/>
          <w:szCs w:val="22"/>
        </w:rPr>
      </w:pPr>
      <w:hyperlink w:anchor="_Toc94013180" w:history="1">
        <w:r w:rsidR="00A75D28" w:rsidRPr="0051648A">
          <w:rPr>
            <w:rStyle w:val="Hyperlink"/>
          </w:rPr>
          <w:t>Guaranteed Service Levels</w:t>
        </w:r>
        <w:r w:rsidR="00A75D28">
          <w:rPr>
            <w:webHidden/>
          </w:rPr>
          <w:tab/>
        </w:r>
        <w:r w:rsidR="00A75D28">
          <w:rPr>
            <w:webHidden/>
          </w:rPr>
          <w:fldChar w:fldCharType="begin"/>
        </w:r>
        <w:r w:rsidR="00A75D28">
          <w:rPr>
            <w:webHidden/>
          </w:rPr>
          <w:instrText xml:space="preserve"> PAGEREF _Toc94013180 \h </w:instrText>
        </w:r>
        <w:r w:rsidR="00A75D28">
          <w:rPr>
            <w:webHidden/>
          </w:rPr>
        </w:r>
        <w:r w:rsidR="00A75D28">
          <w:rPr>
            <w:webHidden/>
          </w:rPr>
          <w:fldChar w:fldCharType="separate"/>
        </w:r>
        <w:r w:rsidR="00A75D28">
          <w:rPr>
            <w:webHidden/>
          </w:rPr>
          <w:t>15</w:t>
        </w:r>
        <w:r w:rsidR="00A75D28">
          <w:rPr>
            <w:webHidden/>
          </w:rPr>
          <w:fldChar w:fldCharType="end"/>
        </w:r>
      </w:hyperlink>
    </w:p>
    <w:p w14:paraId="2DDAAAA3" w14:textId="54F1A904" w:rsidR="00A75D28" w:rsidRDefault="00B21C7F">
      <w:pPr>
        <w:pStyle w:val="TOC3"/>
        <w:rPr>
          <w:b w:val="0"/>
          <w:color w:val="auto"/>
          <w:sz w:val="22"/>
          <w:szCs w:val="22"/>
        </w:rPr>
      </w:pPr>
      <w:hyperlink w:anchor="_Toc94013181" w:history="1">
        <w:r w:rsidR="00A75D28" w:rsidRPr="0051648A">
          <w:rPr>
            <w:rStyle w:val="Hyperlink"/>
          </w:rPr>
          <w:t>Electricity and gas safety</w:t>
        </w:r>
        <w:r w:rsidR="00A75D28">
          <w:rPr>
            <w:webHidden/>
          </w:rPr>
          <w:tab/>
        </w:r>
        <w:r w:rsidR="00A75D28">
          <w:rPr>
            <w:webHidden/>
          </w:rPr>
          <w:fldChar w:fldCharType="begin"/>
        </w:r>
        <w:r w:rsidR="00A75D28">
          <w:rPr>
            <w:webHidden/>
          </w:rPr>
          <w:instrText xml:space="preserve"> PAGEREF _Toc94013181 \h </w:instrText>
        </w:r>
        <w:r w:rsidR="00A75D28">
          <w:rPr>
            <w:webHidden/>
          </w:rPr>
        </w:r>
        <w:r w:rsidR="00A75D28">
          <w:rPr>
            <w:webHidden/>
          </w:rPr>
          <w:fldChar w:fldCharType="separate"/>
        </w:r>
        <w:r w:rsidR="00A75D28">
          <w:rPr>
            <w:webHidden/>
          </w:rPr>
          <w:t>15</w:t>
        </w:r>
        <w:r w:rsidR="00A75D28">
          <w:rPr>
            <w:webHidden/>
          </w:rPr>
          <w:fldChar w:fldCharType="end"/>
        </w:r>
      </w:hyperlink>
    </w:p>
    <w:p w14:paraId="38D1035C" w14:textId="41EDBCAA" w:rsidR="00A75D28" w:rsidRDefault="00B21C7F">
      <w:pPr>
        <w:pStyle w:val="TOC3"/>
        <w:rPr>
          <w:b w:val="0"/>
          <w:color w:val="auto"/>
          <w:sz w:val="22"/>
          <w:szCs w:val="22"/>
        </w:rPr>
      </w:pPr>
      <w:hyperlink w:anchor="_Toc94013182" w:history="1">
        <w:r w:rsidR="00A75D28" w:rsidRPr="0051648A">
          <w:rPr>
            <w:rStyle w:val="Hyperlink"/>
            <w:rFonts w:eastAsiaTheme="minorHAnsi"/>
            <w:lang w:eastAsia="en-US"/>
          </w:rPr>
          <w:t>Major Hazard Facilities</w:t>
        </w:r>
        <w:r w:rsidR="00A75D28">
          <w:rPr>
            <w:webHidden/>
          </w:rPr>
          <w:tab/>
        </w:r>
        <w:r w:rsidR="00A75D28">
          <w:rPr>
            <w:webHidden/>
          </w:rPr>
          <w:fldChar w:fldCharType="begin"/>
        </w:r>
        <w:r w:rsidR="00A75D28">
          <w:rPr>
            <w:webHidden/>
          </w:rPr>
          <w:instrText xml:space="preserve"> PAGEREF _Toc94013182 \h </w:instrText>
        </w:r>
        <w:r w:rsidR="00A75D28">
          <w:rPr>
            <w:webHidden/>
          </w:rPr>
        </w:r>
        <w:r w:rsidR="00A75D28">
          <w:rPr>
            <w:webHidden/>
          </w:rPr>
          <w:fldChar w:fldCharType="separate"/>
        </w:r>
        <w:r w:rsidR="00A75D28">
          <w:rPr>
            <w:webHidden/>
          </w:rPr>
          <w:t>15</w:t>
        </w:r>
        <w:r w:rsidR="00A75D28">
          <w:rPr>
            <w:webHidden/>
          </w:rPr>
          <w:fldChar w:fldCharType="end"/>
        </w:r>
      </w:hyperlink>
    </w:p>
    <w:p w14:paraId="457AB996" w14:textId="4F8B8716" w:rsidR="00A75D28" w:rsidRDefault="00B21C7F">
      <w:pPr>
        <w:pStyle w:val="TOC2"/>
        <w:rPr>
          <w:rFonts w:eastAsiaTheme="minorEastAsia" w:cstheme="minorBidi"/>
          <w:b w:val="0"/>
          <w:color w:val="auto"/>
          <w:sz w:val="22"/>
          <w:szCs w:val="22"/>
        </w:rPr>
      </w:pPr>
      <w:hyperlink w:anchor="_Toc94013183" w:history="1">
        <w:r w:rsidR="00A75D28" w:rsidRPr="0051648A">
          <w:rPr>
            <w:rStyle w:val="Hyperlink"/>
          </w:rPr>
          <w:t>Energy disruption risk assessment and management</w:t>
        </w:r>
        <w:r w:rsidR="00A75D28">
          <w:rPr>
            <w:webHidden/>
          </w:rPr>
          <w:tab/>
        </w:r>
        <w:r w:rsidR="00A75D28">
          <w:rPr>
            <w:webHidden/>
          </w:rPr>
          <w:fldChar w:fldCharType="begin"/>
        </w:r>
        <w:r w:rsidR="00A75D28">
          <w:rPr>
            <w:webHidden/>
          </w:rPr>
          <w:instrText xml:space="preserve"> PAGEREF _Toc94013183 \h </w:instrText>
        </w:r>
        <w:r w:rsidR="00A75D28">
          <w:rPr>
            <w:webHidden/>
          </w:rPr>
        </w:r>
        <w:r w:rsidR="00A75D28">
          <w:rPr>
            <w:webHidden/>
          </w:rPr>
          <w:fldChar w:fldCharType="separate"/>
        </w:r>
        <w:r w:rsidR="00A75D28">
          <w:rPr>
            <w:webHidden/>
          </w:rPr>
          <w:t>15</w:t>
        </w:r>
        <w:r w:rsidR="00A75D28">
          <w:rPr>
            <w:webHidden/>
          </w:rPr>
          <w:fldChar w:fldCharType="end"/>
        </w:r>
      </w:hyperlink>
    </w:p>
    <w:p w14:paraId="102E8F2E" w14:textId="68D1D334" w:rsidR="00A75D28" w:rsidRDefault="00B21C7F">
      <w:pPr>
        <w:pStyle w:val="TOC3"/>
        <w:rPr>
          <w:b w:val="0"/>
          <w:color w:val="auto"/>
          <w:sz w:val="22"/>
          <w:szCs w:val="22"/>
        </w:rPr>
      </w:pPr>
      <w:hyperlink w:anchor="_Toc94013184" w:history="1">
        <w:r w:rsidR="00A75D28" w:rsidRPr="0051648A">
          <w:rPr>
            <w:rStyle w:val="Hyperlink"/>
          </w:rPr>
          <w:t>Government assessment and monitoring of energy sector risk</w:t>
        </w:r>
        <w:r w:rsidR="00A75D28">
          <w:rPr>
            <w:webHidden/>
          </w:rPr>
          <w:tab/>
        </w:r>
        <w:r w:rsidR="00A75D28">
          <w:rPr>
            <w:webHidden/>
          </w:rPr>
          <w:fldChar w:fldCharType="begin"/>
        </w:r>
        <w:r w:rsidR="00A75D28">
          <w:rPr>
            <w:webHidden/>
          </w:rPr>
          <w:instrText xml:space="preserve"> PAGEREF _Toc94013184 \h </w:instrText>
        </w:r>
        <w:r w:rsidR="00A75D28">
          <w:rPr>
            <w:webHidden/>
          </w:rPr>
        </w:r>
        <w:r w:rsidR="00A75D28">
          <w:rPr>
            <w:webHidden/>
          </w:rPr>
          <w:fldChar w:fldCharType="separate"/>
        </w:r>
        <w:r w:rsidR="00A75D28">
          <w:rPr>
            <w:webHidden/>
          </w:rPr>
          <w:t>16</w:t>
        </w:r>
        <w:r w:rsidR="00A75D28">
          <w:rPr>
            <w:webHidden/>
          </w:rPr>
          <w:fldChar w:fldCharType="end"/>
        </w:r>
      </w:hyperlink>
    </w:p>
    <w:p w14:paraId="65378976" w14:textId="3FE5CAC8" w:rsidR="00A75D28" w:rsidRDefault="00B21C7F">
      <w:pPr>
        <w:pStyle w:val="TOC3"/>
        <w:rPr>
          <w:b w:val="0"/>
          <w:color w:val="auto"/>
          <w:sz w:val="22"/>
          <w:szCs w:val="22"/>
        </w:rPr>
      </w:pPr>
      <w:hyperlink w:anchor="_Toc94013185" w:history="1">
        <w:r w:rsidR="00A75D28" w:rsidRPr="0051648A">
          <w:rPr>
            <w:rStyle w:val="Hyperlink"/>
          </w:rPr>
          <w:t>Energy industry risk management</w:t>
        </w:r>
        <w:r w:rsidR="00A75D28">
          <w:rPr>
            <w:webHidden/>
          </w:rPr>
          <w:tab/>
        </w:r>
        <w:r w:rsidR="00A75D28">
          <w:rPr>
            <w:webHidden/>
          </w:rPr>
          <w:fldChar w:fldCharType="begin"/>
        </w:r>
        <w:r w:rsidR="00A75D28">
          <w:rPr>
            <w:webHidden/>
          </w:rPr>
          <w:instrText xml:space="preserve"> PAGEREF _Toc94013185 \h </w:instrText>
        </w:r>
        <w:r w:rsidR="00A75D28">
          <w:rPr>
            <w:webHidden/>
          </w:rPr>
        </w:r>
        <w:r w:rsidR="00A75D28">
          <w:rPr>
            <w:webHidden/>
          </w:rPr>
          <w:fldChar w:fldCharType="separate"/>
        </w:r>
        <w:r w:rsidR="00A75D28">
          <w:rPr>
            <w:webHidden/>
          </w:rPr>
          <w:t>16</w:t>
        </w:r>
        <w:r w:rsidR="00A75D28">
          <w:rPr>
            <w:webHidden/>
          </w:rPr>
          <w:fldChar w:fldCharType="end"/>
        </w:r>
      </w:hyperlink>
    </w:p>
    <w:p w14:paraId="1EA16516" w14:textId="09DC9166" w:rsidR="00A75D28" w:rsidRDefault="00B21C7F">
      <w:pPr>
        <w:pStyle w:val="TOC1"/>
        <w:rPr>
          <w:rFonts w:eastAsiaTheme="minorEastAsia" w:cstheme="minorBidi"/>
          <w:b w:val="0"/>
          <w:color w:val="auto"/>
          <w:sz w:val="22"/>
          <w:szCs w:val="22"/>
        </w:rPr>
      </w:pPr>
      <w:hyperlink w:anchor="_Toc94013186" w:history="1">
        <w:r w:rsidR="00A75D28" w:rsidRPr="0051648A">
          <w:rPr>
            <w:rStyle w:val="Hyperlink"/>
          </w:rPr>
          <w:t>Response</w:t>
        </w:r>
        <w:r w:rsidR="00A75D28">
          <w:rPr>
            <w:webHidden/>
          </w:rPr>
          <w:tab/>
        </w:r>
        <w:r w:rsidR="00A75D28">
          <w:rPr>
            <w:webHidden/>
          </w:rPr>
          <w:fldChar w:fldCharType="begin"/>
        </w:r>
        <w:r w:rsidR="00A75D28">
          <w:rPr>
            <w:webHidden/>
          </w:rPr>
          <w:instrText xml:space="preserve"> PAGEREF _Toc94013186 \h </w:instrText>
        </w:r>
        <w:r w:rsidR="00A75D28">
          <w:rPr>
            <w:webHidden/>
          </w:rPr>
        </w:r>
        <w:r w:rsidR="00A75D28">
          <w:rPr>
            <w:webHidden/>
          </w:rPr>
          <w:fldChar w:fldCharType="separate"/>
        </w:r>
        <w:r w:rsidR="00A75D28">
          <w:rPr>
            <w:webHidden/>
          </w:rPr>
          <w:t>17</w:t>
        </w:r>
        <w:r w:rsidR="00A75D28">
          <w:rPr>
            <w:webHidden/>
          </w:rPr>
          <w:fldChar w:fldCharType="end"/>
        </w:r>
      </w:hyperlink>
    </w:p>
    <w:p w14:paraId="30AFC214" w14:textId="1DDA5284" w:rsidR="00A75D28" w:rsidRDefault="00B21C7F">
      <w:pPr>
        <w:pStyle w:val="TOC2"/>
        <w:rPr>
          <w:rFonts w:eastAsiaTheme="minorEastAsia" w:cstheme="minorBidi"/>
          <w:b w:val="0"/>
          <w:color w:val="auto"/>
          <w:sz w:val="22"/>
          <w:szCs w:val="22"/>
        </w:rPr>
      </w:pPr>
      <w:hyperlink w:anchor="_Toc94013187" w:history="1">
        <w:r w:rsidR="00A75D28" w:rsidRPr="0051648A">
          <w:rPr>
            <w:rStyle w:val="Hyperlink"/>
          </w:rPr>
          <w:t>Roles and responsibilities</w:t>
        </w:r>
        <w:r w:rsidR="00A75D28">
          <w:rPr>
            <w:webHidden/>
          </w:rPr>
          <w:tab/>
        </w:r>
        <w:r w:rsidR="00A75D28">
          <w:rPr>
            <w:webHidden/>
          </w:rPr>
          <w:fldChar w:fldCharType="begin"/>
        </w:r>
        <w:r w:rsidR="00A75D28">
          <w:rPr>
            <w:webHidden/>
          </w:rPr>
          <w:instrText xml:space="preserve"> PAGEREF _Toc94013187 \h </w:instrText>
        </w:r>
        <w:r w:rsidR="00A75D28">
          <w:rPr>
            <w:webHidden/>
          </w:rPr>
        </w:r>
        <w:r w:rsidR="00A75D28">
          <w:rPr>
            <w:webHidden/>
          </w:rPr>
          <w:fldChar w:fldCharType="separate"/>
        </w:r>
        <w:r w:rsidR="00A75D28">
          <w:rPr>
            <w:webHidden/>
          </w:rPr>
          <w:t>17</w:t>
        </w:r>
        <w:r w:rsidR="00A75D28">
          <w:rPr>
            <w:webHidden/>
          </w:rPr>
          <w:fldChar w:fldCharType="end"/>
        </w:r>
      </w:hyperlink>
    </w:p>
    <w:p w14:paraId="61B53EDF" w14:textId="71282394" w:rsidR="00A75D28" w:rsidRDefault="00B21C7F">
      <w:pPr>
        <w:pStyle w:val="TOC2"/>
        <w:rPr>
          <w:rFonts w:eastAsiaTheme="minorEastAsia" w:cstheme="minorBidi"/>
          <w:b w:val="0"/>
          <w:color w:val="auto"/>
          <w:sz w:val="22"/>
          <w:szCs w:val="22"/>
        </w:rPr>
      </w:pPr>
      <w:hyperlink w:anchor="_Toc94013188" w:history="1">
        <w:r w:rsidR="00A75D28" w:rsidRPr="0051648A">
          <w:rPr>
            <w:rStyle w:val="Hyperlink"/>
          </w:rPr>
          <w:t>Operation of multi-jurisdictional and state-level joint government-industry energy emergency management arrangements</w:t>
        </w:r>
        <w:r w:rsidR="00A75D28">
          <w:rPr>
            <w:webHidden/>
          </w:rPr>
          <w:tab/>
        </w:r>
        <w:r w:rsidR="00A75D28">
          <w:rPr>
            <w:webHidden/>
          </w:rPr>
          <w:fldChar w:fldCharType="begin"/>
        </w:r>
        <w:r w:rsidR="00A75D28">
          <w:rPr>
            <w:webHidden/>
          </w:rPr>
          <w:instrText xml:space="preserve"> PAGEREF _Toc94013188 \h </w:instrText>
        </w:r>
        <w:r w:rsidR="00A75D28">
          <w:rPr>
            <w:webHidden/>
          </w:rPr>
        </w:r>
        <w:r w:rsidR="00A75D28">
          <w:rPr>
            <w:webHidden/>
          </w:rPr>
          <w:fldChar w:fldCharType="separate"/>
        </w:r>
        <w:r w:rsidR="00A75D28">
          <w:rPr>
            <w:webHidden/>
          </w:rPr>
          <w:t>18</w:t>
        </w:r>
        <w:r w:rsidR="00A75D28">
          <w:rPr>
            <w:webHidden/>
          </w:rPr>
          <w:fldChar w:fldCharType="end"/>
        </w:r>
      </w:hyperlink>
    </w:p>
    <w:p w14:paraId="0139E767" w14:textId="635D16E4" w:rsidR="00A75D28" w:rsidRDefault="00B21C7F">
      <w:pPr>
        <w:pStyle w:val="TOC2"/>
        <w:rPr>
          <w:rFonts w:eastAsiaTheme="minorEastAsia" w:cstheme="minorBidi"/>
          <w:b w:val="0"/>
          <w:color w:val="auto"/>
          <w:sz w:val="22"/>
          <w:szCs w:val="22"/>
        </w:rPr>
      </w:pPr>
      <w:hyperlink w:anchor="_Toc94013189" w:history="1">
        <w:r w:rsidR="00A75D28" w:rsidRPr="0051648A">
          <w:rPr>
            <w:rStyle w:val="Hyperlink"/>
          </w:rPr>
          <w:t>Readiness</w:t>
        </w:r>
        <w:r w:rsidR="00A75D28">
          <w:rPr>
            <w:webHidden/>
          </w:rPr>
          <w:tab/>
        </w:r>
        <w:r w:rsidR="00A75D28">
          <w:rPr>
            <w:webHidden/>
          </w:rPr>
          <w:fldChar w:fldCharType="begin"/>
        </w:r>
        <w:r w:rsidR="00A75D28">
          <w:rPr>
            <w:webHidden/>
          </w:rPr>
          <w:instrText xml:space="preserve"> PAGEREF _Toc94013189 \h </w:instrText>
        </w:r>
        <w:r w:rsidR="00A75D28">
          <w:rPr>
            <w:webHidden/>
          </w:rPr>
        </w:r>
        <w:r w:rsidR="00A75D28">
          <w:rPr>
            <w:webHidden/>
          </w:rPr>
          <w:fldChar w:fldCharType="separate"/>
        </w:r>
        <w:r w:rsidR="00A75D28">
          <w:rPr>
            <w:webHidden/>
          </w:rPr>
          <w:t>18</w:t>
        </w:r>
        <w:r w:rsidR="00A75D28">
          <w:rPr>
            <w:webHidden/>
          </w:rPr>
          <w:fldChar w:fldCharType="end"/>
        </w:r>
      </w:hyperlink>
    </w:p>
    <w:p w14:paraId="256F0D99" w14:textId="09047FE1" w:rsidR="00A75D28" w:rsidRDefault="00B21C7F">
      <w:pPr>
        <w:pStyle w:val="TOC2"/>
        <w:rPr>
          <w:rFonts w:eastAsiaTheme="minorEastAsia" w:cstheme="minorBidi"/>
          <w:b w:val="0"/>
          <w:color w:val="auto"/>
          <w:sz w:val="22"/>
          <w:szCs w:val="22"/>
        </w:rPr>
      </w:pPr>
      <w:hyperlink w:anchor="_Toc94013190" w:history="1">
        <w:r w:rsidR="00A75D28" w:rsidRPr="0051648A">
          <w:rPr>
            <w:rStyle w:val="Hyperlink"/>
          </w:rPr>
          <w:t>Control arrangements</w:t>
        </w:r>
        <w:r w:rsidR="00A75D28">
          <w:rPr>
            <w:webHidden/>
          </w:rPr>
          <w:tab/>
        </w:r>
        <w:r w:rsidR="00A75D28">
          <w:rPr>
            <w:webHidden/>
          </w:rPr>
          <w:fldChar w:fldCharType="begin"/>
        </w:r>
        <w:r w:rsidR="00A75D28">
          <w:rPr>
            <w:webHidden/>
          </w:rPr>
          <w:instrText xml:space="preserve"> PAGEREF _Toc94013190 \h </w:instrText>
        </w:r>
        <w:r w:rsidR="00A75D28">
          <w:rPr>
            <w:webHidden/>
          </w:rPr>
        </w:r>
        <w:r w:rsidR="00A75D28">
          <w:rPr>
            <w:webHidden/>
          </w:rPr>
          <w:fldChar w:fldCharType="separate"/>
        </w:r>
        <w:r w:rsidR="00A75D28">
          <w:rPr>
            <w:webHidden/>
          </w:rPr>
          <w:t>19</w:t>
        </w:r>
        <w:r w:rsidR="00A75D28">
          <w:rPr>
            <w:webHidden/>
          </w:rPr>
          <w:fldChar w:fldCharType="end"/>
        </w:r>
      </w:hyperlink>
    </w:p>
    <w:p w14:paraId="30695C62" w14:textId="4B706634" w:rsidR="00A75D28" w:rsidRDefault="00B21C7F">
      <w:pPr>
        <w:pStyle w:val="TOC3"/>
        <w:rPr>
          <w:b w:val="0"/>
          <w:color w:val="auto"/>
          <w:sz w:val="22"/>
          <w:szCs w:val="22"/>
        </w:rPr>
      </w:pPr>
      <w:hyperlink w:anchor="_Toc94013191" w:history="1">
        <w:r w:rsidR="00A75D28" w:rsidRPr="0051648A">
          <w:rPr>
            <w:rStyle w:val="Hyperlink"/>
          </w:rPr>
          <w:t>The State Controller – Energy</w:t>
        </w:r>
        <w:r w:rsidR="00A75D28">
          <w:rPr>
            <w:webHidden/>
          </w:rPr>
          <w:tab/>
        </w:r>
        <w:r w:rsidR="00A75D28">
          <w:rPr>
            <w:webHidden/>
          </w:rPr>
          <w:fldChar w:fldCharType="begin"/>
        </w:r>
        <w:r w:rsidR="00A75D28">
          <w:rPr>
            <w:webHidden/>
          </w:rPr>
          <w:instrText xml:space="preserve"> PAGEREF _Toc94013191 \h </w:instrText>
        </w:r>
        <w:r w:rsidR="00A75D28">
          <w:rPr>
            <w:webHidden/>
          </w:rPr>
        </w:r>
        <w:r w:rsidR="00A75D28">
          <w:rPr>
            <w:webHidden/>
          </w:rPr>
          <w:fldChar w:fldCharType="separate"/>
        </w:r>
        <w:r w:rsidR="00A75D28">
          <w:rPr>
            <w:webHidden/>
          </w:rPr>
          <w:t>19</w:t>
        </w:r>
        <w:r w:rsidR="00A75D28">
          <w:rPr>
            <w:webHidden/>
          </w:rPr>
          <w:fldChar w:fldCharType="end"/>
        </w:r>
      </w:hyperlink>
    </w:p>
    <w:p w14:paraId="5509EA9D" w14:textId="74165EEC" w:rsidR="00A75D28" w:rsidRDefault="00B21C7F">
      <w:pPr>
        <w:pStyle w:val="TOC3"/>
        <w:rPr>
          <w:b w:val="0"/>
          <w:color w:val="auto"/>
          <w:sz w:val="22"/>
          <w:szCs w:val="22"/>
        </w:rPr>
      </w:pPr>
      <w:hyperlink w:anchor="_Toc94013192" w:history="1">
        <w:r w:rsidR="00A75D28" w:rsidRPr="0051648A">
          <w:rPr>
            <w:rStyle w:val="Hyperlink"/>
          </w:rPr>
          <w:t>Control centre</w:t>
        </w:r>
        <w:r w:rsidR="00A75D28">
          <w:rPr>
            <w:webHidden/>
          </w:rPr>
          <w:tab/>
        </w:r>
        <w:r w:rsidR="00A75D28">
          <w:rPr>
            <w:webHidden/>
          </w:rPr>
          <w:fldChar w:fldCharType="begin"/>
        </w:r>
        <w:r w:rsidR="00A75D28">
          <w:rPr>
            <w:webHidden/>
          </w:rPr>
          <w:instrText xml:space="preserve"> PAGEREF _Toc94013192 \h </w:instrText>
        </w:r>
        <w:r w:rsidR="00A75D28">
          <w:rPr>
            <w:webHidden/>
          </w:rPr>
        </w:r>
        <w:r w:rsidR="00A75D28">
          <w:rPr>
            <w:webHidden/>
          </w:rPr>
          <w:fldChar w:fldCharType="separate"/>
        </w:r>
        <w:r w:rsidR="00A75D28">
          <w:rPr>
            <w:webHidden/>
          </w:rPr>
          <w:t>19</w:t>
        </w:r>
        <w:r w:rsidR="00A75D28">
          <w:rPr>
            <w:webHidden/>
          </w:rPr>
          <w:fldChar w:fldCharType="end"/>
        </w:r>
      </w:hyperlink>
    </w:p>
    <w:p w14:paraId="787A6468" w14:textId="42E4B43B" w:rsidR="00A75D28" w:rsidRDefault="00B21C7F">
      <w:pPr>
        <w:pStyle w:val="TOC3"/>
        <w:rPr>
          <w:b w:val="0"/>
          <w:color w:val="auto"/>
          <w:sz w:val="22"/>
          <w:szCs w:val="22"/>
        </w:rPr>
      </w:pPr>
      <w:hyperlink w:anchor="_Toc94013193" w:history="1">
        <w:r w:rsidR="00A75D28" w:rsidRPr="0051648A">
          <w:rPr>
            <w:rStyle w:val="Hyperlink"/>
          </w:rPr>
          <w:t>Management structure</w:t>
        </w:r>
        <w:r w:rsidR="00A75D28">
          <w:rPr>
            <w:webHidden/>
          </w:rPr>
          <w:tab/>
        </w:r>
        <w:r w:rsidR="00A75D28">
          <w:rPr>
            <w:webHidden/>
          </w:rPr>
          <w:fldChar w:fldCharType="begin"/>
        </w:r>
        <w:r w:rsidR="00A75D28">
          <w:rPr>
            <w:webHidden/>
          </w:rPr>
          <w:instrText xml:space="preserve"> PAGEREF _Toc94013193 \h </w:instrText>
        </w:r>
        <w:r w:rsidR="00A75D28">
          <w:rPr>
            <w:webHidden/>
          </w:rPr>
        </w:r>
        <w:r w:rsidR="00A75D28">
          <w:rPr>
            <w:webHidden/>
          </w:rPr>
          <w:fldChar w:fldCharType="separate"/>
        </w:r>
        <w:r w:rsidR="00A75D28">
          <w:rPr>
            <w:webHidden/>
          </w:rPr>
          <w:t>20</w:t>
        </w:r>
        <w:r w:rsidR="00A75D28">
          <w:rPr>
            <w:webHidden/>
          </w:rPr>
          <w:fldChar w:fldCharType="end"/>
        </w:r>
      </w:hyperlink>
    </w:p>
    <w:p w14:paraId="0A6AEA5D" w14:textId="45BDCE60" w:rsidR="00A75D28" w:rsidRDefault="00B21C7F">
      <w:pPr>
        <w:pStyle w:val="TOC3"/>
        <w:rPr>
          <w:b w:val="0"/>
          <w:color w:val="auto"/>
          <w:sz w:val="22"/>
          <w:szCs w:val="22"/>
        </w:rPr>
      </w:pPr>
      <w:hyperlink w:anchor="_Toc94013194" w:history="1">
        <w:r w:rsidR="00A75D28" w:rsidRPr="0051648A">
          <w:rPr>
            <w:rStyle w:val="Hyperlink"/>
          </w:rPr>
          <w:t>Concurrent emergencies</w:t>
        </w:r>
        <w:r w:rsidR="00A75D28">
          <w:rPr>
            <w:webHidden/>
          </w:rPr>
          <w:tab/>
        </w:r>
        <w:r w:rsidR="00A75D28">
          <w:rPr>
            <w:webHidden/>
          </w:rPr>
          <w:fldChar w:fldCharType="begin"/>
        </w:r>
        <w:r w:rsidR="00A75D28">
          <w:rPr>
            <w:webHidden/>
          </w:rPr>
          <w:instrText xml:space="preserve"> PAGEREF _Toc94013194 \h </w:instrText>
        </w:r>
        <w:r w:rsidR="00A75D28">
          <w:rPr>
            <w:webHidden/>
          </w:rPr>
        </w:r>
        <w:r w:rsidR="00A75D28">
          <w:rPr>
            <w:webHidden/>
          </w:rPr>
          <w:fldChar w:fldCharType="separate"/>
        </w:r>
        <w:r w:rsidR="00A75D28">
          <w:rPr>
            <w:webHidden/>
          </w:rPr>
          <w:t>20</w:t>
        </w:r>
        <w:r w:rsidR="00A75D28">
          <w:rPr>
            <w:webHidden/>
          </w:rPr>
          <w:fldChar w:fldCharType="end"/>
        </w:r>
      </w:hyperlink>
    </w:p>
    <w:p w14:paraId="42AD9992" w14:textId="0494FE19" w:rsidR="00A75D28" w:rsidRDefault="00B21C7F">
      <w:pPr>
        <w:pStyle w:val="TOC2"/>
        <w:rPr>
          <w:rFonts w:eastAsiaTheme="minorEastAsia" w:cstheme="minorBidi"/>
          <w:b w:val="0"/>
          <w:color w:val="auto"/>
          <w:sz w:val="22"/>
          <w:szCs w:val="22"/>
        </w:rPr>
      </w:pPr>
      <w:hyperlink w:anchor="_Toc94013195" w:history="1">
        <w:r w:rsidR="00A75D28" w:rsidRPr="0051648A">
          <w:rPr>
            <w:rStyle w:val="Hyperlink"/>
          </w:rPr>
          <w:t>Application of State Emergency Management Priorities</w:t>
        </w:r>
        <w:r w:rsidR="00A75D28">
          <w:rPr>
            <w:webHidden/>
          </w:rPr>
          <w:tab/>
        </w:r>
        <w:r w:rsidR="00A75D28">
          <w:rPr>
            <w:webHidden/>
          </w:rPr>
          <w:fldChar w:fldCharType="begin"/>
        </w:r>
        <w:r w:rsidR="00A75D28">
          <w:rPr>
            <w:webHidden/>
          </w:rPr>
          <w:instrText xml:space="preserve"> PAGEREF _Toc94013195 \h </w:instrText>
        </w:r>
        <w:r w:rsidR="00A75D28">
          <w:rPr>
            <w:webHidden/>
          </w:rPr>
        </w:r>
        <w:r w:rsidR="00A75D28">
          <w:rPr>
            <w:webHidden/>
          </w:rPr>
          <w:fldChar w:fldCharType="separate"/>
        </w:r>
        <w:r w:rsidR="00A75D28">
          <w:rPr>
            <w:webHidden/>
          </w:rPr>
          <w:t>23</w:t>
        </w:r>
        <w:r w:rsidR="00A75D28">
          <w:rPr>
            <w:webHidden/>
          </w:rPr>
          <w:fldChar w:fldCharType="end"/>
        </w:r>
      </w:hyperlink>
    </w:p>
    <w:p w14:paraId="18E96130" w14:textId="7B4C3FB7" w:rsidR="00A75D28" w:rsidRDefault="00B21C7F">
      <w:pPr>
        <w:pStyle w:val="TOC2"/>
        <w:rPr>
          <w:rFonts w:eastAsiaTheme="minorEastAsia" w:cstheme="minorBidi"/>
          <w:b w:val="0"/>
          <w:color w:val="auto"/>
          <w:sz w:val="22"/>
          <w:szCs w:val="22"/>
        </w:rPr>
      </w:pPr>
      <w:hyperlink w:anchor="_Toc94013196" w:history="1">
        <w:r w:rsidR="00A75D28" w:rsidRPr="0051648A">
          <w:rPr>
            <w:rStyle w:val="Hyperlink"/>
          </w:rPr>
          <w:t>Consequence management</w:t>
        </w:r>
        <w:r w:rsidR="00A75D28">
          <w:rPr>
            <w:webHidden/>
          </w:rPr>
          <w:tab/>
        </w:r>
        <w:r w:rsidR="00A75D28">
          <w:rPr>
            <w:webHidden/>
          </w:rPr>
          <w:fldChar w:fldCharType="begin"/>
        </w:r>
        <w:r w:rsidR="00A75D28">
          <w:rPr>
            <w:webHidden/>
          </w:rPr>
          <w:instrText xml:space="preserve"> PAGEREF _Toc94013196 \h </w:instrText>
        </w:r>
        <w:r w:rsidR="00A75D28">
          <w:rPr>
            <w:webHidden/>
          </w:rPr>
        </w:r>
        <w:r w:rsidR="00A75D28">
          <w:rPr>
            <w:webHidden/>
          </w:rPr>
          <w:fldChar w:fldCharType="separate"/>
        </w:r>
        <w:r w:rsidR="00A75D28">
          <w:rPr>
            <w:webHidden/>
          </w:rPr>
          <w:t>24</w:t>
        </w:r>
        <w:r w:rsidR="00A75D28">
          <w:rPr>
            <w:webHidden/>
          </w:rPr>
          <w:fldChar w:fldCharType="end"/>
        </w:r>
      </w:hyperlink>
    </w:p>
    <w:p w14:paraId="4C423E89" w14:textId="36BAF391" w:rsidR="00A75D28" w:rsidRDefault="00B21C7F">
      <w:pPr>
        <w:pStyle w:val="TOC3"/>
        <w:rPr>
          <w:b w:val="0"/>
          <w:color w:val="auto"/>
          <w:sz w:val="22"/>
          <w:szCs w:val="22"/>
        </w:rPr>
      </w:pPr>
      <w:hyperlink w:anchor="_Toc94013197" w:history="1">
        <w:r w:rsidR="00A75D28" w:rsidRPr="0051648A">
          <w:rPr>
            <w:rStyle w:val="Hyperlink"/>
            <w:rFonts w:eastAsia="Arial"/>
          </w:rPr>
          <w:t>Critical infrastructure, community assets and essential services</w:t>
        </w:r>
        <w:r w:rsidR="00A75D28">
          <w:rPr>
            <w:webHidden/>
          </w:rPr>
          <w:tab/>
        </w:r>
        <w:r w:rsidR="00A75D28">
          <w:rPr>
            <w:webHidden/>
          </w:rPr>
          <w:fldChar w:fldCharType="begin"/>
        </w:r>
        <w:r w:rsidR="00A75D28">
          <w:rPr>
            <w:webHidden/>
          </w:rPr>
          <w:instrText xml:space="preserve"> PAGEREF _Toc94013197 \h </w:instrText>
        </w:r>
        <w:r w:rsidR="00A75D28">
          <w:rPr>
            <w:webHidden/>
          </w:rPr>
        </w:r>
        <w:r w:rsidR="00A75D28">
          <w:rPr>
            <w:webHidden/>
          </w:rPr>
          <w:fldChar w:fldCharType="separate"/>
        </w:r>
        <w:r w:rsidR="00A75D28">
          <w:rPr>
            <w:webHidden/>
          </w:rPr>
          <w:t>24</w:t>
        </w:r>
        <w:r w:rsidR="00A75D28">
          <w:rPr>
            <w:webHidden/>
          </w:rPr>
          <w:fldChar w:fldCharType="end"/>
        </w:r>
      </w:hyperlink>
    </w:p>
    <w:p w14:paraId="2465EE47" w14:textId="14B9582F" w:rsidR="00A75D28" w:rsidRDefault="00B21C7F">
      <w:pPr>
        <w:pStyle w:val="TOC2"/>
        <w:rPr>
          <w:rFonts w:eastAsiaTheme="minorEastAsia" w:cstheme="minorBidi"/>
          <w:b w:val="0"/>
          <w:color w:val="auto"/>
          <w:sz w:val="22"/>
          <w:szCs w:val="22"/>
        </w:rPr>
      </w:pPr>
      <w:hyperlink w:anchor="_Toc94013198" w:history="1">
        <w:r w:rsidR="00A75D28" w:rsidRPr="0051648A">
          <w:rPr>
            <w:rStyle w:val="Hyperlink"/>
          </w:rPr>
          <w:t>Voluntary appeals, market interventions and legislative powers</w:t>
        </w:r>
        <w:r w:rsidR="00A75D28">
          <w:rPr>
            <w:webHidden/>
          </w:rPr>
          <w:tab/>
        </w:r>
        <w:r w:rsidR="00A75D28">
          <w:rPr>
            <w:webHidden/>
          </w:rPr>
          <w:fldChar w:fldCharType="begin"/>
        </w:r>
        <w:r w:rsidR="00A75D28">
          <w:rPr>
            <w:webHidden/>
          </w:rPr>
          <w:instrText xml:space="preserve"> PAGEREF _Toc94013198 \h </w:instrText>
        </w:r>
        <w:r w:rsidR="00A75D28">
          <w:rPr>
            <w:webHidden/>
          </w:rPr>
        </w:r>
        <w:r w:rsidR="00A75D28">
          <w:rPr>
            <w:webHidden/>
          </w:rPr>
          <w:fldChar w:fldCharType="separate"/>
        </w:r>
        <w:r w:rsidR="00A75D28">
          <w:rPr>
            <w:webHidden/>
          </w:rPr>
          <w:t>25</w:t>
        </w:r>
        <w:r w:rsidR="00A75D28">
          <w:rPr>
            <w:webHidden/>
          </w:rPr>
          <w:fldChar w:fldCharType="end"/>
        </w:r>
      </w:hyperlink>
    </w:p>
    <w:p w14:paraId="7572F1D5" w14:textId="43492304" w:rsidR="00A75D28" w:rsidRDefault="00B21C7F">
      <w:pPr>
        <w:pStyle w:val="TOC3"/>
        <w:rPr>
          <w:b w:val="0"/>
          <w:color w:val="auto"/>
          <w:sz w:val="22"/>
          <w:szCs w:val="22"/>
        </w:rPr>
      </w:pPr>
      <w:hyperlink w:anchor="_Toc94013199" w:history="1">
        <w:r w:rsidR="00A75D28" w:rsidRPr="0051648A">
          <w:rPr>
            <w:rStyle w:val="Hyperlink"/>
          </w:rPr>
          <w:t>Electricity</w:t>
        </w:r>
        <w:r w:rsidR="00A75D28">
          <w:rPr>
            <w:webHidden/>
          </w:rPr>
          <w:tab/>
        </w:r>
        <w:r w:rsidR="00A75D28">
          <w:rPr>
            <w:webHidden/>
          </w:rPr>
          <w:fldChar w:fldCharType="begin"/>
        </w:r>
        <w:r w:rsidR="00A75D28">
          <w:rPr>
            <w:webHidden/>
          </w:rPr>
          <w:instrText xml:space="preserve"> PAGEREF _Toc94013199 \h </w:instrText>
        </w:r>
        <w:r w:rsidR="00A75D28">
          <w:rPr>
            <w:webHidden/>
          </w:rPr>
        </w:r>
        <w:r w:rsidR="00A75D28">
          <w:rPr>
            <w:webHidden/>
          </w:rPr>
          <w:fldChar w:fldCharType="separate"/>
        </w:r>
        <w:r w:rsidR="00A75D28">
          <w:rPr>
            <w:webHidden/>
          </w:rPr>
          <w:t>25</w:t>
        </w:r>
        <w:r w:rsidR="00A75D28">
          <w:rPr>
            <w:webHidden/>
          </w:rPr>
          <w:fldChar w:fldCharType="end"/>
        </w:r>
      </w:hyperlink>
    </w:p>
    <w:p w14:paraId="55B462A0" w14:textId="7B18CD57" w:rsidR="00A75D28" w:rsidRDefault="00B21C7F">
      <w:pPr>
        <w:pStyle w:val="TOC3"/>
        <w:rPr>
          <w:b w:val="0"/>
          <w:color w:val="auto"/>
          <w:sz w:val="22"/>
          <w:szCs w:val="22"/>
        </w:rPr>
      </w:pPr>
      <w:hyperlink w:anchor="_Toc94013200" w:history="1">
        <w:r w:rsidR="00A75D28" w:rsidRPr="0051648A">
          <w:rPr>
            <w:rStyle w:val="Hyperlink"/>
          </w:rPr>
          <w:t>Mutual Aid Arrangements for electricity supply industry</w:t>
        </w:r>
        <w:r w:rsidR="00A75D28">
          <w:rPr>
            <w:webHidden/>
          </w:rPr>
          <w:tab/>
        </w:r>
        <w:r w:rsidR="00A75D28">
          <w:rPr>
            <w:webHidden/>
          </w:rPr>
          <w:fldChar w:fldCharType="begin"/>
        </w:r>
        <w:r w:rsidR="00A75D28">
          <w:rPr>
            <w:webHidden/>
          </w:rPr>
          <w:instrText xml:space="preserve"> PAGEREF _Toc94013200 \h </w:instrText>
        </w:r>
        <w:r w:rsidR="00A75D28">
          <w:rPr>
            <w:webHidden/>
          </w:rPr>
        </w:r>
        <w:r w:rsidR="00A75D28">
          <w:rPr>
            <w:webHidden/>
          </w:rPr>
          <w:fldChar w:fldCharType="separate"/>
        </w:r>
        <w:r w:rsidR="00A75D28">
          <w:rPr>
            <w:webHidden/>
          </w:rPr>
          <w:t>27</w:t>
        </w:r>
        <w:r w:rsidR="00A75D28">
          <w:rPr>
            <w:webHidden/>
          </w:rPr>
          <w:fldChar w:fldCharType="end"/>
        </w:r>
      </w:hyperlink>
    </w:p>
    <w:p w14:paraId="043883D9" w14:textId="21FC5B48" w:rsidR="00A75D28" w:rsidRDefault="00B21C7F">
      <w:pPr>
        <w:pStyle w:val="TOC3"/>
        <w:rPr>
          <w:b w:val="0"/>
          <w:color w:val="auto"/>
          <w:sz w:val="22"/>
          <w:szCs w:val="22"/>
        </w:rPr>
      </w:pPr>
      <w:hyperlink w:anchor="_Toc94013201" w:history="1">
        <w:r w:rsidR="00A75D28" w:rsidRPr="0051648A">
          <w:rPr>
            <w:rStyle w:val="Hyperlink"/>
          </w:rPr>
          <w:t>Gas</w:t>
        </w:r>
        <w:r w:rsidR="00A75D28">
          <w:rPr>
            <w:webHidden/>
          </w:rPr>
          <w:tab/>
        </w:r>
        <w:r w:rsidR="00A75D28">
          <w:rPr>
            <w:webHidden/>
          </w:rPr>
          <w:fldChar w:fldCharType="begin"/>
        </w:r>
        <w:r w:rsidR="00A75D28">
          <w:rPr>
            <w:webHidden/>
          </w:rPr>
          <w:instrText xml:space="preserve"> PAGEREF _Toc94013201 \h </w:instrText>
        </w:r>
        <w:r w:rsidR="00A75D28">
          <w:rPr>
            <w:webHidden/>
          </w:rPr>
        </w:r>
        <w:r w:rsidR="00A75D28">
          <w:rPr>
            <w:webHidden/>
          </w:rPr>
          <w:fldChar w:fldCharType="separate"/>
        </w:r>
        <w:r w:rsidR="00A75D28">
          <w:rPr>
            <w:webHidden/>
          </w:rPr>
          <w:t>27</w:t>
        </w:r>
        <w:r w:rsidR="00A75D28">
          <w:rPr>
            <w:webHidden/>
          </w:rPr>
          <w:fldChar w:fldCharType="end"/>
        </w:r>
      </w:hyperlink>
    </w:p>
    <w:p w14:paraId="0726C8A5" w14:textId="6CB3A7EC" w:rsidR="00A75D28" w:rsidRDefault="00B21C7F">
      <w:pPr>
        <w:pStyle w:val="TOC3"/>
        <w:rPr>
          <w:b w:val="0"/>
          <w:color w:val="auto"/>
          <w:sz w:val="22"/>
          <w:szCs w:val="22"/>
        </w:rPr>
      </w:pPr>
      <w:hyperlink w:anchor="_Toc94013202" w:history="1">
        <w:r w:rsidR="00A75D28" w:rsidRPr="0051648A">
          <w:rPr>
            <w:rStyle w:val="Hyperlink"/>
          </w:rPr>
          <w:t>Liquid fuels</w:t>
        </w:r>
        <w:r w:rsidR="00A75D28">
          <w:rPr>
            <w:webHidden/>
          </w:rPr>
          <w:tab/>
        </w:r>
        <w:r w:rsidR="00A75D28">
          <w:rPr>
            <w:webHidden/>
          </w:rPr>
          <w:fldChar w:fldCharType="begin"/>
        </w:r>
        <w:r w:rsidR="00A75D28">
          <w:rPr>
            <w:webHidden/>
          </w:rPr>
          <w:instrText xml:space="preserve"> PAGEREF _Toc94013202 \h </w:instrText>
        </w:r>
        <w:r w:rsidR="00A75D28">
          <w:rPr>
            <w:webHidden/>
          </w:rPr>
        </w:r>
        <w:r w:rsidR="00A75D28">
          <w:rPr>
            <w:webHidden/>
          </w:rPr>
          <w:fldChar w:fldCharType="separate"/>
        </w:r>
        <w:r w:rsidR="00A75D28">
          <w:rPr>
            <w:webHidden/>
          </w:rPr>
          <w:t>28</w:t>
        </w:r>
        <w:r w:rsidR="00A75D28">
          <w:rPr>
            <w:webHidden/>
          </w:rPr>
          <w:fldChar w:fldCharType="end"/>
        </w:r>
      </w:hyperlink>
    </w:p>
    <w:p w14:paraId="75EC06E1" w14:textId="3E1ECA9F" w:rsidR="00A75D28" w:rsidRDefault="00B21C7F">
      <w:pPr>
        <w:pStyle w:val="TOC2"/>
        <w:rPr>
          <w:rFonts w:eastAsiaTheme="minorEastAsia" w:cstheme="minorBidi"/>
          <w:b w:val="0"/>
          <w:color w:val="auto"/>
          <w:sz w:val="22"/>
          <w:szCs w:val="22"/>
        </w:rPr>
      </w:pPr>
      <w:hyperlink w:anchor="_Toc94013203" w:history="1">
        <w:r w:rsidR="00A75D28" w:rsidRPr="0051648A">
          <w:rPr>
            <w:rStyle w:val="Hyperlink"/>
          </w:rPr>
          <w:t>Public Information and warnings</w:t>
        </w:r>
        <w:r w:rsidR="00A75D28">
          <w:rPr>
            <w:webHidden/>
          </w:rPr>
          <w:tab/>
        </w:r>
        <w:r w:rsidR="00A75D28">
          <w:rPr>
            <w:webHidden/>
          </w:rPr>
          <w:fldChar w:fldCharType="begin"/>
        </w:r>
        <w:r w:rsidR="00A75D28">
          <w:rPr>
            <w:webHidden/>
          </w:rPr>
          <w:instrText xml:space="preserve"> PAGEREF _Toc94013203 \h </w:instrText>
        </w:r>
        <w:r w:rsidR="00A75D28">
          <w:rPr>
            <w:webHidden/>
          </w:rPr>
        </w:r>
        <w:r w:rsidR="00A75D28">
          <w:rPr>
            <w:webHidden/>
          </w:rPr>
          <w:fldChar w:fldCharType="separate"/>
        </w:r>
        <w:r w:rsidR="00A75D28">
          <w:rPr>
            <w:webHidden/>
          </w:rPr>
          <w:t>28</w:t>
        </w:r>
        <w:r w:rsidR="00A75D28">
          <w:rPr>
            <w:webHidden/>
          </w:rPr>
          <w:fldChar w:fldCharType="end"/>
        </w:r>
      </w:hyperlink>
    </w:p>
    <w:p w14:paraId="7AD0D4A1" w14:textId="3D209301" w:rsidR="00A75D28" w:rsidRDefault="00B21C7F">
      <w:pPr>
        <w:pStyle w:val="TOC3"/>
        <w:rPr>
          <w:b w:val="0"/>
          <w:color w:val="auto"/>
          <w:sz w:val="22"/>
          <w:szCs w:val="22"/>
        </w:rPr>
      </w:pPr>
      <w:hyperlink w:anchor="_Toc94013204" w:history="1">
        <w:r w:rsidR="00A75D28" w:rsidRPr="0051648A">
          <w:rPr>
            <w:rStyle w:val="Hyperlink"/>
          </w:rPr>
          <w:t>Complementary energy emergency advice and messaging</w:t>
        </w:r>
        <w:r w:rsidR="00A75D28">
          <w:rPr>
            <w:webHidden/>
          </w:rPr>
          <w:tab/>
        </w:r>
        <w:r w:rsidR="00A75D28">
          <w:rPr>
            <w:webHidden/>
          </w:rPr>
          <w:fldChar w:fldCharType="begin"/>
        </w:r>
        <w:r w:rsidR="00A75D28">
          <w:rPr>
            <w:webHidden/>
          </w:rPr>
          <w:instrText xml:space="preserve"> PAGEREF _Toc94013204 \h </w:instrText>
        </w:r>
        <w:r w:rsidR="00A75D28">
          <w:rPr>
            <w:webHidden/>
          </w:rPr>
        </w:r>
        <w:r w:rsidR="00A75D28">
          <w:rPr>
            <w:webHidden/>
          </w:rPr>
          <w:fldChar w:fldCharType="separate"/>
        </w:r>
        <w:r w:rsidR="00A75D28">
          <w:rPr>
            <w:webHidden/>
          </w:rPr>
          <w:t>28</w:t>
        </w:r>
        <w:r w:rsidR="00A75D28">
          <w:rPr>
            <w:webHidden/>
          </w:rPr>
          <w:fldChar w:fldCharType="end"/>
        </w:r>
      </w:hyperlink>
    </w:p>
    <w:p w14:paraId="387A1E19" w14:textId="170B9D4D" w:rsidR="00A75D28" w:rsidRDefault="00B21C7F">
      <w:pPr>
        <w:pStyle w:val="TOC3"/>
        <w:rPr>
          <w:b w:val="0"/>
          <w:color w:val="auto"/>
          <w:sz w:val="22"/>
          <w:szCs w:val="22"/>
        </w:rPr>
      </w:pPr>
      <w:hyperlink w:anchor="_Toc94013205" w:history="1">
        <w:r w:rsidR="00A75D28" w:rsidRPr="0051648A">
          <w:rPr>
            <w:rStyle w:val="Hyperlink"/>
          </w:rPr>
          <w:t>Industry communications</w:t>
        </w:r>
        <w:r w:rsidR="00A75D28">
          <w:rPr>
            <w:webHidden/>
          </w:rPr>
          <w:tab/>
        </w:r>
        <w:r w:rsidR="00A75D28">
          <w:rPr>
            <w:webHidden/>
          </w:rPr>
          <w:fldChar w:fldCharType="begin"/>
        </w:r>
        <w:r w:rsidR="00A75D28">
          <w:rPr>
            <w:webHidden/>
          </w:rPr>
          <w:instrText xml:space="preserve"> PAGEREF _Toc94013205 \h </w:instrText>
        </w:r>
        <w:r w:rsidR="00A75D28">
          <w:rPr>
            <w:webHidden/>
          </w:rPr>
        </w:r>
        <w:r w:rsidR="00A75D28">
          <w:rPr>
            <w:webHidden/>
          </w:rPr>
          <w:fldChar w:fldCharType="separate"/>
        </w:r>
        <w:r w:rsidR="00A75D28">
          <w:rPr>
            <w:webHidden/>
          </w:rPr>
          <w:t>29</w:t>
        </w:r>
        <w:r w:rsidR="00A75D28">
          <w:rPr>
            <w:webHidden/>
          </w:rPr>
          <w:fldChar w:fldCharType="end"/>
        </w:r>
      </w:hyperlink>
    </w:p>
    <w:p w14:paraId="3FE1776E" w14:textId="73AACA8E" w:rsidR="00A75D28" w:rsidRDefault="00B21C7F">
      <w:pPr>
        <w:pStyle w:val="TOC2"/>
        <w:rPr>
          <w:rFonts w:eastAsiaTheme="minorEastAsia" w:cstheme="minorBidi"/>
          <w:b w:val="0"/>
          <w:color w:val="auto"/>
          <w:sz w:val="22"/>
          <w:szCs w:val="22"/>
        </w:rPr>
      </w:pPr>
      <w:hyperlink w:anchor="_Toc94013206" w:history="1">
        <w:r w:rsidR="00A75D28" w:rsidRPr="0051648A">
          <w:rPr>
            <w:rStyle w:val="Hyperlink"/>
          </w:rPr>
          <w:t>Relief arrangements (as part of Response)</w:t>
        </w:r>
        <w:r w:rsidR="00A75D28">
          <w:rPr>
            <w:webHidden/>
          </w:rPr>
          <w:tab/>
        </w:r>
        <w:r w:rsidR="00A75D28">
          <w:rPr>
            <w:webHidden/>
          </w:rPr>
          <w:fldChar w:fldCharType="begin"/>
        </w:r>
        <w:r w:rsidR="00A75D28">
          <w:rPr>
            <w:webHidden/>
          </w:rPr>
          <w:instrText xml:space="preserve"> PAGEREF _Toc94013206 \h </w:instrText>
        </w:r>
        <w:r w:rsidR="00A75D28">
          <w:rPr>
            <w:webHidden/>
          </w:rPr>
        </w:r>
        <w:r w:rsidR="00A75D28">
          <w:rPr>
            <w:webHidden/>
          </w:rPr>
          <w:fldChar w:fldCharType="separate"/>
        </w:r>
        <w:r w:rsidR="00A75D28">
          <w:rPr>
            <w:webHidden/>
          </w:rPr>
          <w:t>29</w:t>
        </w:r>
        <w:r w:rsidR="00A75D28">
          <w:rPr>
            <w:webHidden/>
          </w:rPr>
          <w:fldChar w:fldCharType="end"/>
        </w:r>
      </w:hyperlink>
    </w:p>
    <w:p w14:paraId="47AF8257" w14:textId="34312A97" w:rsidR="00A75D28" w:rsidRDefault="00B21C7F">
      <w:pPr>
        <w:pStyle w:val="TOC3"/>
        <w:rPr>
          <w:b w:val="0"/>
          <w:color w:val="auto"/>
          <w:sz w:val="22"/>
          <w:szCs w:val="22"/>
        </w:rPr>
      </w:pPr>
      <w:hyperlink w:anchor="_Toc94013207" w:history="1">
        <w:r w:rsidR="00A75D28" w:rsidRPr="0051648A">
          <w:rPr>
            <w:rStyle w:val="Hyperlink"/>
          </w:rPr>
          <w:t>Power dependent customers</w:t>
        </w:r>
        <w:r w:rsidR="00A75D28">
          <w:rPr>
            <w:webHidden/>
          </w:rPr>
          <w:tab/>
        </w:r>
        <w:r w:rsidR="00A75D28">
          <w:rPr>
            <w:webHidden/>
          </w:rPr>
          <w:fldChar w:fldCharType="begin"/>
        </w:r>
        <w:r w:rsidR="00A75D28">
          <w:rPr>
            <w:webHidden/>
          </w:rPr>
          <w:instrText xml:space="preserve"> PAGEREF _Toc94013207 \h </w:instrText>
        </w:r>
        <w:r w:rsidR="00A75D28">
          <w:rPr>
            <w:webHidden/>
          </w:rPr>
        </w:r>
        <w:r w:rsidR="00A75D28">
          <w:rPr>
            <w:webHidden/>
          </w:rPr>
          <w:fldChar w:fldCharType="separate"/>
        </w:r>
        <w:r w:rsidR="00A75D28">
          <w:rPr>
            <w:webHidden/>
          </w:rPr>
          <w:t>30</w:t>
        </w:r>
        <w:r w:rsidR="00A75D28">
          <w:rPr>
            <w:webHidden/>
          </w:rPr>
          <w:fldChar w:fldCharType="end"/>
        </w:r>
      </w:hyperlink>
    </w:p>
    <w:p w14:paraId="3328131B" w14:textId="1276E4AC" w:rsidR="00A75D28" w:rsidRDefault="00B21C7F">
      <w:pPr>
        <w:pStyle w:val="TOC2"/>
        <w:rPr>
          <w:rFonts w:eastAsiaTheme="minorEastAsia" w:cstheme="minorBidi"/>
          <w:b w:val="0"/>
          <w:color w:val="auto"/>
          <w:sz w:val="22"/>
          <w:szCs w:val="22"/>
        </w:rPr>
      </w:pPr>
      <w:hyperlink w:anchor="_Toc94013208" w:history="1">
        <w:r w:rsidR="00A75D28" w:rsidRPr="0051648A">
          <w:rPr>
            <w:rStyle w:val="Hyperlink"/>
          </w:rPr>
          <w:t>Transition to Recovery</w:t>
        </w:r>
        <w:r w:rsidR="00A75D28">
          <w:rPr>
            <w:webHidden/>
          </w:rPr>
          <w:tab/>
        </w:r>
        <w:r w:rsidR="00A75D28">
          <w:rPr>
            <w:webHidden/>
          </w:rPr>
          <w:fldChar w:fldCharType="begin"/>
        </w:r>
        <w:r w:rsidR="00A75D28">
          <w:rPr>
            <w:webHidden/>
          </w:rPr>
          <w:instrText xml:space="preserve"> PAGEREF _Toc94013208 \h </w:instrText>
        </w:r>
        <w:r w:rsidR="00A75D28">
          <w:rPr>
            <w:webHidden/>
          </w:rPr>
        </w:r>
        <w:r w:rsidR="00A75D28">
          <w:rPr>
            <w:webHidden/>
          </w:rPr>
          <w:fldChar w:fldCharType="separate"/>
        </w:r>
        <w:r w:rsidR="00A75D28">
          <w:rPr>
            <w:webHidden/>
          </w:rPr>
          <w:t>30</w:t>
        </w:r>
        <w:r w:rsidR="00A75D28">
          <w:rPr>
            <w:webHidden/>
          </w:rPr>
          <w:fldChar w:fldCharType="end"/>
        </w:r>
      </w:hyperlink>
    </w:p>
    <w:p w14:paraId="2371C1EF" w14:textId="022AC9DA" w:rsidR="00A75D28" w:rsidRDefault="00B21C7F">
      <w:pPr>
        <w:pStyle w:val="TOC1"/>
        <w:rPr>
          <w:rFonts w:eastAsiaTheme="minorEastAsia" w:cstheme="minorBidi"/>
          <w:b w:val="0"/>
          <w:color w:val="auto"/>
          <w:sz w:val="22"/>
          <w:szCs w:val="22"/>
        </w:rPr>
      </w:pPr>
      <w:hyperlink w:anchor="_Toc94013209" w:history="1">
        <w:r w:rsidR="00A75D28" w:rsidRPr="0051648A">
          <w:rPr>
            <w:rStyle w:val="Hyperlink"/>
          </w:rPr>
          <w:t>Recovery</w:t>
        </w:r>
        <w:r w:rsidR="00A75D28">
          <w:rPr>
            <w:webHidden/>
          </w:rPr>
          <w:tab/>
        </w:r>
        <w:r w:rsidR="00A75D28">
          <w:rPr>
            <w:webHidden/>
          </w:rPr>
          <w:fldChar w:fldCharType="begin"/>
        </w:r>
        <w:r w:rsidR="00A75D28">
          <w:rPr>
            <w:webHidden/>
          </w:rPr>
          <w:instrText xml:space="preserve"> PAGEREF _Toc94013209 \h </w:instrText>
        </w:r>
        <w:r w:rsidR="00A75D28">
          <w:rPr>
            <w:webHidden/>
          </w:rPr>
        </w:r>
        <w:r w:rsidR="00A75D28">
          <w:rPr>
            <w:webHidden/>
          </w:rPr>
          <w:fldChar w:fldCharType="separate"/>
        </w:r>
        <w:r w:rsidR="00A75D28">
          <w:rPr>
            <w:webHidden/>
          </w:rPr>
          <w:t>31</w:t>
        </w:r>
        <w:r w:rsidR="00A75D28">
          <w:rPr>
            <w:webHidden/>
          </w:rPr>
          <w:fldChar w:fldCharType="end"/>
        </w:r>
      </w:hyperlink>
    </w:p>
    <w:p w14:paraId="5E29C078" w14:textId="5BF54FC2" w:rsidR="00A75D28" w:rsidRDefault="00B21C7F">
      <w:pPr>
        <w:pStyle w:val="TOC1"/>
        <w:rPr>
          <w:rFonts w:eastAsiaTheme="minorEastAsia" w:cstheme="minorBidi"/>
          <w:b w:val="0"/>
          <w:color w:val="auto"/>
          <w:sz w:val="22"/>
          <w:szCs w:val="22"/>
        </w:rPr>
      </w:pPr>
      <w:hyperlink w:anchor="_Toc94013210" w:history="1">
        <w:r w:rsidR="00A75D28" w:rsidRPr="0051648A">
          <w:rPr>
            <w:rStyle w:val="Hyperlink"/>
          </w:rPr>
          <w:t>Appendix A: Triggers for major emergencies (electricity, gas and liquid fuels)</w:t>
        </w:r>
        <w:r w:rsidR="00A75D28">
          <w:rPr>
            <w:webHidden/>
          </w:rPr>
          <w:tab/>
        </w:r>
        <w:r w:rsidR="00A75D28">
          <w:rPr>
            <w:webHidden/>
          </w:rPr>
          <w:fldChar w:fldCharType="begin"/>
        </w:r>
        <w:r w:rsidR="00A75D28">
          <w:rPr>
            <w:webHidden/>
          </w:rPr>
          <w:instrText xml:space="preserve"> PAGEREF _Toc94013210 \h </w:instrText>
        </w:r>
        <w:r w:rsidR="00A75D28">
          <w:rPr>
            <w:webHidden/>
          </w:rPr>
        </w:r>
        <w:r w:rsidR="00A75D28">
          <w:rPr>
            <w:webHidden/>
          </w:rPr>
          <w:fldChar w:fldCharType="separate"/>
        </w:r>
        <w:r w:rsidR="00A75D28">
          <w:rPr>
            <w:webHidden/>
          </w:rPr>
          <w:t>32</w:t>
        </w:r>
        <w:r w:rsidR="00A75D28">
          <w:rPr>
            <w:webHidden/>
          </w:rPr>
          <w:fldChar w:fldCharType="end"/>
        </w:r>
      </w:hyperlink>
    </w:p>
    <w:p w14:paraId="02C9A2D9" w14:textId="6C04DB55" w:rsidR="00A75D28" w:rsidRDefault="00B21C7F">
      <w:pPr>
        <w:pStyle w:val="TOC2"/>
        <w:rPr>
          <w:rFonts w:eastAsiaTheme="minorEastAsia" w:cstheme="minorBidi"/>
          <w:b w:val="0"/>
          <w:color w:val="auto"/>
          <w:sz w:val="22"/>
          <w:szCs w:val="22"/>
        </w:rPr>
      </w:pPr>
      <w:hyperlink w:anchor="_Toc94013211" w:history="1">
        <w:r w:rsidR="00A75D28" w:rsidRPr="0051648A">
          <w:rPr>
            <w:rStyle w:val="Hyperlink"/>
          </w:rPr>
          <w:t>Electricity</w:t>
        </w:r>
        <w:r w:rsidR="00A75D28">
          <w:rPr>
            <w:webHidden/>
          </w:rPr>
          <w:tab/>
        </w:r>
        <w:r w:rsidR="00A75D28">
          <w:rPr>
            <w:webHidden/>
          </w:rPr>
          <w:fldChar w:fldCharType="begin"/>
        </w:r>
        <w:r w:rsidR="00A75D28">
          <w:rPr>
            <w:webHidden/>
          </w:rPr>
          <w:instrText xml:space="preserve"> PAGEREF _Toc94013211 \h </w:instrText>
        </w:r>
        <w:r w:rsidR="00A75D28">
          <w:rPr>
            <w:webHidden/>
          </w:rPr>
        </w:r>
        <w:r w:rsidR="00A75D28">
          <w:rPr>
            <w:webHidden/>
          </w:rPr>
          <w:fldChar w:fldCharType="separate"/>
        </w:r>
        <w:r w:rsidR="00A75D28">
          <w:rPr>
            <w:webHidden/>
          </w:rPr>
          <w:t>32</w:t>
        </w:r>
        <w:r w:rsidR="00A75D28">
          <w:rPr>
            <w:webHidden/>
          </w:rPr>
          <w:fldChar w:fldCharType="end"/>
        </w:r>
      </w:hyperlink>
    </w:p>
    <w:p w14:paraId="0C791DDA" w14:textId="2DD7CCD7" w:rsidR="00A75D28" w:rsidRDefault="00B21C7F">
      <w:pPr>
        <w:pStyle w:val="TOC2"/>
        <w:rPr>
          <w:rFonts w:eastAsiaTheme="minorEastAsia" w:cstheme="minorBidi"/>
          <w:b w:val="0"/>
          <w:color w:val="auto"/>
          <w:sz w:val="22"/>
          <w:szCs w:val="22"/>
        </w:rPr>
      </w:pPr>
      <w:hyperlink w:anchor="_Toc94013212" w:history="1">
        <w:r w:rsidR="00A75D28" w:rsidRPr="0051648A">
          <w:rPr>
            <w:rStyle w:val="Hyperlink"/>
          </w:rPr>
          <w:t>Gas</w:t>
        </w:r>
        <w:r w:rsidR="00A75D28">
          <w:rPr>
            <w:webHidden/>
          </w:rPr>
          <w:tab/>
        </w:r>
        <w:r w:rsidR="00A75D28">
          <w:rPr>
            <w:webHidden/>
          </w:rPr>
          <w:fldChar w:fldCharType="begin"/>
        </w:r>
        <w:r w:rsidR="00A75D28">
          <w:rPr>
            <w:webHidden/>
          </w:rPr>
          <w:instrText xml:space="preserve"> PAGEREF _Toc94013212 \h </w:instrText>
        </w:r>
        <w:r w:rsidR="00A75D28">
          <w:rPr>
            <w:webHidden/>
          </w:rPr>
        </w:r>
        <w:r w:rsidR="00A75D28">
          <w:rPr>
            <w:webHidden/>
          </w:rPr>
          <w:fldChar w:fldCharType="separate"/>
        </w:r>
        <w:r w:rsidR="00A75D28">
          <w:rPr>
            <w:webHidden/>
          </w:rPr>
          <w:t>33</w:t>
        </w:r>
        <w:r w:rsidR="00A75D28">
          <w:rPr>
            <w:webHidden/>
          </w:rPr>
          <w:fldChar w:fldCharType="end"/>
        </w:r>
      </w:hyperlink>
    </w:p>
    <w:p w14:paraId="1D7ADE76" w14:textId="6DF60C41" w:rsidR="00A75D28" w:rsidRDefault="00B21C7F">
      <w:pPr>
        <w:pStyle w:val="TOC2"/>
        <w:rPr>
          <w:rFonts w:eastAsiaTheme="minorEastAsia" w:cstheme="minorBidi"/>
          <w:b w:val="0"/>
          <w:color w:val="auto"/>
          <w:sz w:val="22"/>
          <w:szCs w:val="22"/>
        </w:rPr>
      </w:pPr>
      <w:hyperlink w:anchor="_Toc94013213" w:history="1">
        <w:r w:rsidR="00A75D28" w:rsidRPr="0051648A">
          <w:rPr>
            <w:rStyle w:val="Hyperlink"/>
          </w:rPr>
          <w:t>Liquid fuels</w:t>
        </w:r>
        <w:r w:rsidR="00A75D28">
          <w:rPr>
            <w:webHidden/>
          </w:rPr>
          <w:tab/>
        </w:r>
        <w:r w:rsidR="00A75D28">
          <w:rPr>
            <w:webHidden/>
          </w:rPr>
          <w:fldChar w:fldCharType="begin"/>
        </w:r>
        <w:r w:rsidR="00A75D28">
          <w:rPr>
            <w:webHidden/>
          </w:rPr>
          <w:instrText xml:space="preserve"> PAGEREF _Toc94013213 \h </w:instrText>
        </w:r>
        <w:r w:rsidR="00A75D28">
          <w:rPr>
            <w:webHidden/>
          </w:rPr>
        </w:r>
        <w:r w:rsidR="00A75D28">
          <w:rPr>
            <w:webHidden/>
          </w:rPr>
          <w:fldChar w:fldCharType="separate"/>
        </w:r>
        <w:r w:rsidR="00A75D28">
          <w:rPr>
            <w:webHidden/>
          </w:rPr>
          <w:t>34</w:t>
        </w:r>
        <w:r w:rsidR="00A75D28">
          <w:rPr>
            <w:webHidden/>
          </w:rPr>
          <w:fldChar w:fldCharType="end"/>
        </w:r>
      </w:hyperlink>
    </w:p>
    <w:p w14:paraId="0DB50A0F" w14:textId="193FF0EE" w:rsidR="00A75D28" w:rsidRDefault="00B21C7F">
      <w:pPr>
        <w:pStyle w:val="TOC1"/>
        <w:rPr>
          <w:rFonts w:eastAsiaTheme="minorEastAsia" w:cstheme="minorBidi"/>
          <w:b w:val="0"/>
          <w:color w:val="auto"/>
          <w:sz w:val="22"/>
          <w:szCs w:val="22"/>
        </w:rPr>
      </w:pPr>
      <w:hyperlink w:anchor="_Toc94013214" w:history="1">
        <w:r w:rsidR="00A75D28" w:rsidRPr="0051648A">
          <w:rPr>
            <w:rStyle w:val="Hyperlink"/>
          </w:rPr>
          <w:t>Appendix B: Multi-jurisdictional and state-level joint government-industry energy emergency management arrangements</w:t>
        </w:r>
        <w:r w:rsidR="00A75D28">
          <w:rPr>
            <w:webHidden/>
          </w:rPr>
          <w:tab/>
        </w:r>
        <w:r w:rsidR="00A75D28">
          <w:rPr>
            <w:webHidden/>
          </w:rPr>
          <w:fldChar w:fldCharType="begin"/>
        </w:r>
        <w:r w:rsidR="00A75D28">
          <w:rPr>
            <w:webHidden/>
          </w:rPr>
          <w:instrText xml:space="preserve"> PAGEREF _Toc94013214 \h </w:instrText>
        </w:r>
        <w:r w:rsidR="00A75D28">
          <w:rPr>
            <w:webHidden/>
          </w:rPr>
        </w:r>
        <w:r w:rsidR="00A75D28">
          <w:rPr>
            <w:webHidden/>
          </w:rPr>
          <w:fldChar w:fldCharType="separate"/>
        </w:r>
        <w:r w:rsidR="00A75D28">
          <w:rPr>
            <w:webHidden/>
          </w:rPr>
          <w:t>34</w:t>
        </w:r>
        <w:r w:rsidR="00A75D28">
          <w:rPr>
            <w:webHidden/>
          </w:rPr>
          <w:fldChar w:fldCharType="end"/>
        </w:r>
      </w:hyperlink>
    </w:p>
    <w:p w14:paraId="754FAAB0" w14:textId="0787B58C" w:rsidR="00A75D28" w:rsidRDefault="00B21C7F">
      <w:pPr>
        <w:pStyle w:val="TOC2"/>
        <w:rPr>
          <w:rFonts w:eastAsiaTheme="minorEastAsia" w:cstheme="minorBidi"/>
          <w:b w:val="0"/>
          <w:color w:val="auto"/>
          <w:sz w:val="22"/>
          <w:szCs w:val="22"/>
        </w:rPr>
      </w:pPr>
      <w:hyperlink w:anchor="_Toc94013215" w:history="1">
        <w:r w:rsidR="00A75D28" w:rsidRPr="0051648A">
          <w:rPr>
            <w:rStyle w:val="Hyperlink"/>
          </w:rPr>
          <w:t>Electricity</w:t>
        </w:r>
        <w:r w:rsidR="00A75D28">
          <w:rPr>
            <w:webHidden/>
          </w:rPr>
          <w:tab/>
        </w:r>
        <w:r w:rsidR="00A75D28">
          <w:rPr>
            <w:webHidden/>
          </w:rPr>
          <w:fldChar w:fldCharType="begin"/>
        </w:r>
        <w:r w:rsidR="00A75D28">
          <w:rPr>
            <w:webHidden/>
          </w:rPr>
          <w:instrText xml:space="preserve"> PAGEREF _Toc94013215 \h </w:instrText>
        </w:r>
        <w:r w:rsidR="00A75D28">
          <w:rPr>
            <w:webHidden/>
          </w:rPr>
        </w:r>
        <w:r w:rsidR="00A75D28">
          <w:rPr>
            <w:webHidden/>
          </w:rPr>
          <w:fldChar w:fldCharType="separate"/>
        </w:r>
        <w:r w:rsidR="00A75D28">
          <w:rPr>
            <w:webHidden/>
          </w:rPr>
          <w:t>35</w:t>
        </w:r>
        <w:r w:rsidR="00A75D28">
          <w:rPr>
            <w:webHidden/>
          </w:rPr>
          <w:fldChar w:fldCharType="end"/>
        </w:r>
      </w:hyperlink>
    </w:p>
    <w:p w14:paraId="0C542434" w14:textId="7977895A" w:rsidR="00A75D28" w:rsidRDefault="00B21C7F">
      <w:pPr>
        <w:pStyle w:val="TOC2"/>
        <w:rPr>
          <w:rFonts w:eastAsiaTheme="minorEastAsia" w:cstheme="minorBidi"/>
          <w:b w:val="0"/>
          <w:color w:val="auto"/>
          <w:sz w:val="22"/>
          <w:szCs w:val="22"/>
        </w:rPr>
      </w:pPr>
      <w:hyperlink w:anchor="_Toc94013216" w:history="1">
        <w:r w:rsidR="00A75D28" w:rsidRPr="0051648A">
          <w:rPr>
            <w:rStyle w:val="Hyperlink"/>
          </w:rPr>
          <w:t>Gas</w:t>
        </w:r>
        <w:r w:rsidR="00A75D28">
          <w:rPr>
            <w:webHidden/>
          </w:rPr>
          <w:tab/>
        </w:r>
        <w:r w:rsidR="00A75D28">
          <w:rPr>
            <w:webHidden/>
          </w:rPr>
          <w:fldChar w:fldCharType="begin"/>
        </w:r>
        <w:r w:rsidR="00A75D28">
          <w:rPr>
            <w:webHidden/>
          </w:rPr>
          <w:instrText xml:space="preserve"> PAGEREF _Toc94013216 \h </w:instrText>
        </w:r>
        <w:r w:rsidR="00A75D28">
          <w:rPr>
            <w:webHidden/>
          </w:rPr>
        </w:r>
        <w:r w:rsidR="00A75D28">
          <w:rPr>
            <w:webHidden/>
          </w:rPr>
          <w:fldChar w:fldCharType="separate"/>
        </w:r>
        <w:r w:rsidR="00A75D28">
          <w:rPr>
            <w:webHidden/>
          </w:rPr>
          <w:t>37</w:t>
        </w:r>
        <w:r w:rsidR="00A75D28">
          <w:rPr>
            <w:webHidden/>
          </w:rPr>
          <w:fldChar w:fldCharType="end"/>
        </w:r>
      </w:hyperlink>
    </w:p>
    <w:p w14:paraId="12FD9D4F" w14:textId="5FF9727D" w:rsidR="00A75D28" w:rsidRDefault="00B21C7F">
      <w:pPr>
        <w:pStyle w:val="TOC2"/>
        <w:rPr>
          <w:rFonts w:eastAsiaTheme="minorEastAsia" w:cstheme="minorBidi"/>
          <w:b w:val="0"/>
          <w:color w:val="auto"/>
          <w:sz w:val="22"/>
          <w:szCs w:val="22"/>
        </w:rPr>
      </w:pPr>
      <w:hyperlink w:anchor="_Toc94013217" w:history="1">
        <w:r w:rsidR="00A75D28" w:rsidRPr="0051648A">
          <w:rPr>
            <w:rStyle w:val="Hyperlink"/>
          </w:rPr>
          <w:t>Liquid fuels</w:t>
        </w:r>
        <w:r w:rsidR="00A75D28">
          <w:rPr>
            <w:webHidden/>
          </w:rPr>
          <w:tab/>
        </w:r>
        <w:r w:rsidR="00A75D28">
          <w:rPr>
            <w:webHidden/>
          </w:rPr>
          <w:fldChar w:fldCharType="begin"/>
        </w:r>
        <w:r w:rsidR="00A75D28">
          <w:rPr>
            <w:webHidden/>
          </w:rPr>
          <w:instrText xml:space="preserve"> PAGEREF _Toc94013217 \h </w:instrText>
        </w:r>
        <w:r w:rsidR="00A75D28">
          <w:rPr>
            <w:webHidden/>
          </w:rPr>
        </w:r>
        <w:r w:rsidR="00A75D28">
          <w:rPr>
            <w:webHidden/>
          </w:rPr>
          <w:fldChar w:fldCharType="separate"/>
        </w:r>
        <w:r w:rsidR="00A75D28">
          <w:rPr>
            <w:webHidden/>
          </w:rPr>
          <w:t>39</w:t>
        </w:r>
        <w:r w:rsidR="00A75D28">
          <w:rPr>
            <w:webHidden/>
          </w:rPr>
          <w:fldChar w:fldCharType="end"/>
        </w:r>
      </w:hyperlink>
    </w:p>
    <w:p w14:paraId="26889EF1" w14:textId="7310D05D" w:rsidR="00A75D28" w:rsidRDefault="00B21C7F">
      <w:pPr>
        <w:pStyle w:val="TOC1"/>
        <w:rPr>
          <w:rFonts w:eastAsiaTheme="minorEastAsia" w:cstheme="minorBidi"/>
          <w:b w:val="0"/>
          <w:color w:val="auto"/>
          <w:sz w:val="22"/>
          <w:szCs w:val="22"/>
        </w:rPr>
      </w:pPr>
      <w:hyperlink w:anchor="_Toc94013218" w:history="1">
        <w:r w:rsidR="00A75D28" w:rsidRPr="0051648A">
          <w:rPr>
            <w:rStyle w:val="Hyperlink"/>
          </w:rPr>
          <w:t>Appendix C: Related plans, documents and services</w:t>
        </w:r>
        <w:r w:rsidR="00A75D28">
          <w:rPr>
            <w:webHidden/>
          </w:rPr>
          <w:tab/>
        </w:r>
        <w:r w:rsidR="00A75D28">
          <w:rPr>
            <w:webHidden/>
          </w:rPr>
          <w:fldChar w:fldCharType="begin"/>
        </w:r>
        <w:r w:rsidR="00A75D28">
          <w:rPr>
            <w:webHidden/>
          </w:rPr>
          <w:instrText xml:space="preserve"> PAGEREF _Toc94013218 \h </w:instrText>
        </w:r>
        <w:r w:rsidR="00A75D28">
          <w:rPr>
            <w:webHidden/>
          </w:rPr>
        </w:r>
        <w:r w:rsidR="00A75D28">
          <w:rPr>
            <w:webHidden/>
          </w:rPr>
          <w:fldChar w:fldCharType="separate"/>
        </w:r>
        <w:r w:rsidR="00A75D28">
          <w:rPr>
            <w:webHidden/>
          </w:rPr>
          <w:t>41</w:t>
        </w:r>
        <w:r w:rsidR="00A75D28">
          <w:rPr>
            <w:webHidden/>
          </w:rPr>
          <w:fldChar w:fldCharType="end"/>
        </w:r>
      </w:hyperlink>
    </w:p>
    <w:p w14:paraId="624642B7" w14:textId="0F356F42" w:rsidR="00A75D28" w:rsidRDefault="00B21C7F">
      <w:pPr>
        <w:pStyle w:val="TOC1"/>
        <w:rPr>
          <w:rFonts w:eastAsiaTheme="minorEastAsia" w:cstheme="minorBidi"/>
          <w:b w:val="0"/>
          <w:color w:val="auto"/>
          <w:sz w:val="22"/>
          <w:szCs w:val="22"/>
        </w:rPr>
      </w:pPr>
      <w:hyperlink w:anchor="_Toc94013219" w:history="1">
        <w:r w:rsidR="00A75D28" w:rsidRPr="0051648A">
          <w:rPr>
            <w:rStyle w:val="Hyperlink"/>
          </w:rPr>
          <w:t>Appendix D: Acronyms</w:t>
        </w:r>
        <w:r w:rsidR="00A75D28">
          <w:rPr>
            <w:webHidden/>
          </w:rPr>
          <w:tab/>
        </w:r>
        <w:r w:rsidR="00A75D28">
          <w:rPr>
            <w:webHidden/>
          </w:rPr>
          <w:fldChar w:fldCharType="begin"/>
        </w:r>
        <w:r w:rsidR="00A75D28">
          <w:rPr>
            <w:webHidden/>
          </w:rPr>
          <w:instrText xml:space="preserve"> PAGEREF _Toc94013219 \h </w:instrText>
        </w:r>
        <w:r w:rsidR="00A75D28">
          <w:rPr>
            <w:webHidden/>
          </w:rPr>
        </w:r>
        <w:r w:rsidR="00A75D28">
          <w:rPr>
            <w:webHidden/>
          </w:rPr>
          <w:fldChar w:fldCharType="separate"/>
        </w:r>
        <w:r w:rsidR="00A75D28">
          <w:rPr>
            <w:webHidden/>
          </w:rPr>
          <w:t>43</w:t>
        </w:r>
        <w:r w:rsidR="00A75D28">
          <w:rPr>
            <w:webHidden/>
          </w:rPr>
          <w:fldChar w:fldCharType="end"/>
        </w:r>
      </w:hyperlink>
    </w:p>
    <w:p w14:paraId="446E6142" w14:textId="3C7A450A" w:rsidR="008F4D3D" w:rsidRDefault="001F5D92" w:rsidP="00162B86">
      <w:r>
        <w:fldChar w:fldCharType="end"/>
      </w:r>
    </w:p>
    <w:p w14:paraId="5995FAF7" w14:textId="77777777" w:rsidR="00436277" w:rsidRDefault="00DB2F5C" w:rsidP="00162B86">
      <w:pPr>
        <w:sectPr w:rsidR="00436277" w:rsidSect="00DF6361">
          <w:headerReference w:type="default" r:id="rId18"/>
          <w:footerReference w:type="even" r:id="rId19"/>
          <w:footerReference w:type="default" r:id="rId20"/>
          <w:pgSz w:w="11907" w:h="16840" w:code="9"/>
          <w:pgMar w:top="2268" w:right="1134" w:bottom="1134" w:left="1134" w:header="284" w:footer="284" w:gutter="0"/>
          <w:pgNumType w:start="1"/>
          <w:cols w:space="708"/>
          <w:docGrid w:linePitch="360"/>
        </w:sectPr>
      </w:pPr>
      <w:r>
        <w:t xml:space="preserve"> </w:t>
      </w:r>
    </w:p>
    <w:p w14:paraId="391CE5CD" w14:textId="5F3F253E" w:rsidR="00DD2A1D" w:rsidRPr="003907AC" w:rsidRDefault="00DD2A1D" w:rsidP="00DD2A1D">
      <w:pPr>
        <w:pStyle w:val="Heading1"/>
      </w:pPr>
      <w:bookmarkStart w:id="1" w:name="_Toc94013154"/>
      <w:bookmarkStart w:id="2" w:name="_Toc82274464"/>
      <w:bookmarkStart w:id="3" w:name="_Toc82350763"/>
      <w:bookmarkStart w:id="4" w:name="_Toc1305539572"/>
      <w:bookmarkStart w:id="5" w:name="_Toc1185066290"/>
      <w:bookmarkStart w:id="6" w:name="_Toc1299519170"/>
      <w:bookmarkStart w:id="7" w:name="_Toc1313173552"/>
      <w:bookmarkStart w:id="8" w:name="_Toc890427787"/>
      <w:bookmarkStart w:id="9" w:name="_Toc540068299"/>
      <w:bookmarkStart w:id="10" w:name="_Toc2115758366"/>
      <w:bookmarkStart w:id="11" w:name="_Toc1803148318"/>
      <w:bookmarkStart w:id="12" w:name="_Toc1587844876"/>
      <w:bookmarkStart w:id="13" w:name="_Toc323780077"/>
      <w:bookmarkStart w:id="14" w:name="_Toc2139007431"/>
      <w:bookmarkStart w:id="15" w:name="_Toc2003597687"/>
      <w:bookmarkStart w:id="16" w:name="_Toc823145506"/>
      <w:bookmarkStart w:id="17" w:name="_Toc1107434301"/>
      <w:bookmarkStart w:id="18" w:name="_Toc1639843518"/>
      <w:bookmarkStart w:id="19" w:name="_Toc1506307460"/>
      <w:bookmarkStart w:id="20" w:name="_Toc333181461"/>
      <w:bookmarkStart w:id="21" w:name="_Toc1210064865"/>
      <w:bookmarkStart w:id="22" w:name="_Toc688959222"/>
      <w:bookmarkStart w:id="23" w:name="_Toc772610639"/>
      <w:bookmarkStart w:id="24" w:name="_Toc910655073"/>
      <w:bookmarkStart w:id="25" w:name="_Toc1142941641"/>
      <w:bookmarkStart w:id="26" w:name="_Toc18522880"/>
      <w:bookmarkStart w:id="27" w:name="_Toc844464227"/>
      <w:bookmarkStart w:id="28" w:name="_Toc757922884"/>
      <w:bookmarkStart w:id="29" w:name="_Toc1133327655"/>
      <w:bookmarkStart w:id="30" w:name="_Toc1603640345"/>
      <w:bookmarkStart w:id="31" w:name="_Toc91329147"/>
      <w:bookmarkStart w:id="32" w:name="_Toc915593572"/>
      <w:bookmarkStart w:id="33" w:name="_Toc1341053876"/>
      <w:bookmarkStart w:id="34" w:name="_Toc2068742854"/>
      <w:bookmarkStart w:id="35" w:name="_Toc1870664935"/>
      <w:bookmarkStart w:id="36" w:name="_Toc1739859108"/>
      <w:bookmarkStart w:id="37" w:name="_Toc2083417585"/>
      <w:bookmarkStart w:id="38" w:name="_Toc515613939"/>
      <w:bookmarkStart w:id="39" w:name="_Toc17346609"/>
      <w:bookmarkStart w:id="40" w:name="_Toc261959261"/>
      <w:bookmarkStart w:id="41" w:name="_Toc853739258"/>
      <w:bookmarkStart w:id="42" w:name="_Toc586412077"/>
      <w:bookmarkStart w:id="43" w:name="_Toc763792233"/>
      <w:bookmarkStart w:id="44" w:name="_Toc1368758798"/>
      <w:bookmarkStart w:id="45" w:name="_Toc2124402726"/>
      <w:bookmarkStart w:id="46" w:name="_Toc97459670"/>
      <w:bookmarkStart w:id="47" w:name="_Toc131103681"/>
      <w:bookmarkStart w:id="48" w:name="_Toc997356297"/>
      <w:r>
        <w:lastRenderedPageBreak/>
        <w:t>Introduction</w:t>
      </w:r>
      <w:bookmarkStart w:id="49" w:name="_Toc56678585"/>
      <w:bookmarkEnd w:id="1"/>
    </w:p>
    <w:p w14:paraId="24A8B1EE" w14:textId="77777777" w:rsidR="00DD2A1D" w:rsidRPr="003907AC" w:rsidRDefault="00DD2A1D" w:rsidP="00DD2A1D">
      <w:pPr>
        <w:pStyle w:val="Heading2"/>
      </w:pPr>
      <w:bookmarkStart w:id="50" w:name="_Toc82274465"/>
      <w:bookmarkStart w:id="51" w:name="_Toc82350764"/>
      <w:bookmarkStart w:id="52" w:name="_Toc90319391"/>
      <w:bookmarkStart w:id="53" w:name="_Toc94013155"/>
      <w:bookmarkEnd w:id="49"/>
      <w:r>
        <w:t>Purpose</w:t>
      </w:r>
      <w:bookmarkEnd w:id="50"/>
      <w:bookmarkEnd w:id="51"/>
      <w:bookmarkEnd w:id="52"/>
      <w:bookmarkEnd w:id="53"/>
      <w:r>
        <w:t xml:space="preserve"> </w:t>
      </w:r>
    </w:p>
    <w:p w14:paraId="76BEC3BC" w14:textId="77777777" w:rsidR="00DD2A1D" w:rsidRPr="003907AC" w:rsidRDefault="00DD2A1D" w:rsidP="006E18B1">
      <w:pPr>
        <w:pStyle w:val="BodyText"/>
      </w:pPr>
      <w:r w:rsidRPr="003907AC">
        <w:t>This sub-plan to the State Emergency Management Plan (SEMP) outlines the Victorian arrangements to deliver a coordinated response to energy emergencies.</w:t>
      </w:r>
    </w:p>
    <w:p w14:paraId="0F68000E" w14:textId="77777777" w:rsidR="00DD2A1D" w:rsidRPr="003907AC" w:rsidRDefault="00DD2A1D" w:rsidP="00DD2A1D">
      <w:pPr>
        <w:pStyle w:val="Heading2"/>
      </w:pPr>
      <w:bookmarkStart w:id="54" w:name="_Toc82274466"/>
      <w:bookmarkStart w:id="55" w:name="_Toc82350765"/>
      <w:bookmarkStart w:id="56" w:name="_Toc90319392"/>
      <w:bookmarkStart w:id="57" w:name="_Toc23466134"/>
      <w:bookmarkStart w:id="58" w:name="_Toc400244297"/>
      <w:bookmarkStart w:id="59" w:name="_Toc868811194"/>
      <w:bookmarkStart w:id="60" w:name="_Toc548702069"/>
      <w:bookmarkStart w:id="61" w:name="_Toc1173318735"/>
      <w:bookmarkStart w:id="62" w:name="_Toc1665964265"/>
      <w:bookmarkStart w:id="63" w:name="_Toc211878669"/>
      <w:bookmarkStart w:id="64" w:name="_Toc308754993"/>
      <w:bookmarkStart w:id="65" w:name="_Toc627582207"/>
      <w:bookmarkStart w:id="66" w:name="_Toc1364634544"/>
      <w:bookmarkStart w:id="67" w:name="_Toc968617177"/>
      <w:bookmarkStart w:id="68" w:name="_Toc1816775559"/>
      <w:bookmarkStart w:id="69" w:name="_Toc518412982"/>
      <w:bookmarkStart w:id="70" w:name="_Toc2040915007"/>
      <w:bookmarkStart w:id="71" w:name="_Toc1843639808"/>
      <w:bookmarkStart w:id="72" w:name="_Toc171850651"/>
      <w:bookmarkStart w:id="73" w:name="_Toc674758679"/>
      <w:bookmarkStart w:id="74" w:name="_Toc344204759"/>
      <w:bookmarkStart w:id="75" w:name="_Toc545041705"/>
      <w:bookmarkStart w:id="76" w:name="_Toc2138769544"/>
      <w:bookmarkStart w:id="77" w:name="_Toc1146396232"/>
      <w:bookmarkStart w:id="78" w:name="_Toc1512042730"/>
      <w:bookmarkStart w:id="79" w:name="_Toc1011500143"/>
      <w:bookmarkStart w:id="80" w:name="_Toc1727388233"/>
      <w:bookmarkStart w:id="81" w:name="_Toc955444102"/>
      <w:bookmarkStart w:id="82" w:name="_Toc2016282604"/>
      <w:bookmarkStart w:id="83" w:name="_Toc1023260814"/>
      <w:bookmarkStart w:id="84" w:name="_Toc1093538691"/>
      <w:bookmarkStart w:id="85" w:name="_Toc338776954"/>
      <w:bookmarkStart w:id="86" w:name="_Toc1501089772"/>
      <w:bookmarkStart w:id="87" w:name="_Toc1492472565"/>
      <w:bookmarkStart w:id="88" w:name="_Toc1905136459"/>
      <w:bookmarkStart w:id="89" w:name="_Toc2047228169"/>
      <w:bookmarkStart w:id="90" w:name="_Toc876569259"/>
      <w:bookmarkStart w:id="91" w:name="_Toc1014386803"/>
      <w:bookmarkStart w:id="92" w:name="_Toc1645317802"/>
      <w:bookmarkStart w:id="93" w:name="_Toc632904490"/>
      <w:bookmarkStart w:id="94" w:name="_Toc536452091"/>
      <w:bookmarkStart w:id="95" w:name="_Toc747837243"/>
      <w:bookmarkStart w:id="96" w:name="_Toc872991725"/>
      <w:bookmarkStart w:id="97" w:name="_Toc1230553536"/>
      <w:bookmarkStart w:id="98" w:name="_Toc1046881657"/>
      <w:bookmarkStart w:id="99" w:name="_Toc1185247436"/>
      <w:bookmarkStart w:id="100" w:name="_Toc2013275601"/>
      <w:bookmarkStart w:id="101" w:name="_Toc795377261"/>
      <w:bookmarkStart w:id="102" w:name="_Toc94013156"/>
      <w:r>
        <w:t>Value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3D6DD33" w14:textId="77777777" w:rsidR="00DD2A1D" w:rsidRPr="003907AC" w:rsidRDefault="00DD2A1D" w:rsidP="006E18B1">
      <w:pPr>
        <w:pStyle w:val="BodyText"/>
      </w:pPr>
      <w:r w:rsidRPr="003907AC">
        <w:t xml:space="preserve">This sub-plan provides information about energy supply chains and infrastructure, risks and consequences of disruption, and the arrangements for energy emergency mitigation, preparedness, </w:t>
      </w:r>
      <w:proofErr w:type="gramStart"/>
      <w:r w:rsidRPr="003907AC">
        <w:t>response</w:t>
      </w:r>
      <w:proofErr w:type="gramEnd"/>
      <w:r w:rsidRPr="003907AC">
        <w:t xml:space="preserve"> and recovery. </w:t>
      </w:r>
    </w:p>
    <w:p w14:paraId="04F0A547" w14:textId="77777777" w:rsidR="00DD2A1D" w:rsidRPr="003907AC" w:rsidRDefault="00DD2A1D" w:rsidP="006E18B1">
      <w:pPr>
        <w:pStyle w:val="BodyText"/>
      </w:pPr>
      <w:r w:rsidRPr="003907AC">
        <w:t>This clarity about context, roles and collaboration between agencies enables an integrated and collaborative response to energy emergencies, minimises the likelihood and consequence of these emergencies, and supports community resilience.</w:t>
      </w:r>
    </w:p>
    <w:p w14:paraId="1F014DAA" w14:textId="77777777" w:rsidR="00DD2A1D" w:rsidRPr="003907AC" w:rsidRDefault="00DD2A1D" w:rsidP="00DD2A1D">
      <w:pPr>
        <w:pStyle w:val="Heading2"/>
      </w:pPr>
      <w:bookmarkStart w:id="103" w:name="_Toc82274467"/>
      <w:bookmarkStart w:id="104" w:name="_Toc82350766"/>
      <w:bookmarkStart w:id="105" w:name="_Toc90319393"/>
      <w:bookmarkStart w:id="106" w:name="_Toc705633994"/>
      <w:bookmarkStart w:id="107" w:name="_Toc1795361711"/>
      <w:bookmarkStart w:id="108" w:name="_Toc1144518079"/>
      <w:bookmarkStart w:id="109" w:name="_Toc1602841666"/>
      <w:bookmarkStart w:id="110" w:name="_Toc274665731"/>
      <w:bookmarkStart w:id="111" w:name="_Toc1295937342"/>
      <w:bookmarkStart w:id="112" w:name="_Toc1756252862"/>
      <w:bookmarkStart w:id="113" w:name="_Toc927101389"/>
      <w:bookmarkStart w:id="114" w:name="_Toc129161974"/>
      <w:bookmarkStart w:id="115" w:name="_Toc2041922161"/>
      <w:bookmarkStart w:id="116" w:name="_Toc185440535"/>
      <w:bookmarkStart w:id="117" w:name="_Toc1199285136"/>
      <w:bookmarkStart w:id="118" w:name="_Toc1222384375"/>
      <w:bookmarkStart w:id="119" w:name="_Toc693597161"/>
      <w:bookmarkStart w:id="120" w:name="_Toc1867904798"/>
      <w:bookmarkStart w:id="121" w:name="_Toc1051841439"/>
      <w:bookmarkStart w:id="122" w:name="_Toc1327591400"/>
      <w:bookmarkStart w:id="123" w:name="_Toc1949238387"/>
      <w:bookmarkStart w:id="124" w:name="_Toc1472456360"/>
      <w:bookmarkStart w:id="125" w:name="_Toc857092813"/>
      <w:bookmarkStart w:id="126" w:name="_Toc1026955762"/>
      <w:bookmarkStart w:id="127" w:name="_Toc587384319"/>
      <w:bookmarkStart w:id="128" w:name="_Toc1720155520"/>
      <w:bookmarkStart w:id="129" w:name="_Toc813092554"/>
      <w:bookmarkStart w:id="130" w:name="_Toc1383963085"/>
      <w:bookmarkStart w:id="131" w:name="_Toc472387778"/>
      <w:bookmarkStart w:id="132" w:name="_Toc1792487968"/>
      <w:bookmarkStart w:id="133" w:name="_Toc1293229703"/>
      <w:bookmarkStart w:id="134" w:name="_Toc918248849"/>
      <w:bookmarkStart w:id="135" w:name="_Toc783984286"/>
      <w:bookmarkStart w:id="136" w:name="_Toc1347847679"/>
      <w:bookmarkStart w:id="137" w:name="_Toc1721322339"/>
      <w:bookmarkStart w:id="138" w:name="_Toc444153059"/>
      <w:bookmarkStart w:id="139" w:name="_Toc841849936"/>
      <w:bookmarkStart w:id="140" w:name="_Toc1377548130"/>
      <w:bookmarkStart w:id="141" w:name="_Toc2133951904"/>
      <w:bookmarkStart w:id="142" w:name="_Toc1914058663"/>
      <w:bookmarkStart w:id="143" w:name="_Toc410827094"/>
      <w:bookmarkStart w:id="144" w:name="_Toc88738574"/>
      <w:bookmarkStart w:id="145" w:name="_Toc121227625"/>
      <w:bookmarkStart w:id="146" w:name="_Toc711030769"/>
      <w:bookmarkStart w:id="147" w:name="_Toc2052100028"/>
      <w:bookmarkStart w:id="148" w:name="_Toc239432688"/>
      <w:bookmarkStart w:id="149" w:name="_Toc187548482"/>
      <w:bookmarkStart w:id="150" w:name="_Toc1563239119"/>
      <w:bookmarkStart w:id="151" w:name="_Toc94013157"/>
      <w:r>
        <w:t>Audience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00D476E" w14:textId="77777777" w:rsidR="00DD2A1D" w:rsidRPr="003907AC" w:rsidRDefault="00DD2A1D" w:rsidP="006E18B1">
      <w:pPr>
        <w:pStyle w:val="BodyText"/>
      </w:pPr>
      <w:r w:rsidRPr="003907AC">
        <w:t xml:space="preserve">The audience for this sub-plan is the Victorian Government and agencies, bodies, </w:t>
      </w:r>
      <w:proofErr w:type="gramStart"/>
      <w:r w:rsidRPr="003907AC">
        <w:t>departments</w:t>
      </w:r>
      <w:proofErr w:type="gramEnd"/>
      <w:r w:rsidRPr="003907AC">
        <w:t xml:space="preserve"> and other organisations within the Victorian emergency management sector that have an interest in the management of energy emergencies.  The audience also includes Commonwealth, state and territory governments, and industry stakeholders that have a role in managing energy emergencies.</w:t>
      </w:r>
    </w:p>
    <w:p w14:paraId="687A042D" w14:textId="77777777" w:rsidR="00DD2A1D" w:rsidRPr="003907AC" w:rsidRDefault="00DD2A1D" w:rsidP="00DD2A1D">
      <w:pPr>
        <w:pStyle w:val="Heading2"/>
      </w:pPr>
      <w:bookmarkStart w:id="152" w:name="_Toc82274468"/>
      <w:bookmarkStart w:id="153" w:name="_Toc82350767"/>
      <w:bookmarkStart w:id="154" w:name="_Toc90319394"/>
      <w:bookmarkStart w:id="155" w:name="_Toc179793591"/>
      <w:bookmarkStart w:id="156" w:name="_Toc1126133159"/>
      <w:bookmarkStart w:id="157" w:name="_Toc804811612"/>
      <w:bookmarkStart w:id="158" w:name="_Toc1652643403"/>
      <w:bookmarkStart w:id="159" w:name="_Toc1985410375"/>
      <w:bookmarkStart w:id="160" w:name="_Toc117321050"/>
      <w:bookmarkStart w:id="161" w:name="_Toc407680310"/>
      <w:bookmarkStart w:id="162" w:name="_Toc783430139"/>
      <w:bookmarkStart w:id="163" w:name="_Toc140892989"/>
      <w:bookmarkStart w:id="164" w:name="_Toc1111405789"/>
      <w:bookmarkStart w:id="165" w:name="_Toc1051409340"/>
      <w:bookmarkStart w:id="166" w:name="_Toc1598055910"/>
      <w:bookmarkStart w:id="167" w:name="_Toc926360229"/>
      <w:bookmarkStart w:id="168" w:name="_Toc1010032127"/>
      <w:bookmarkStart w:id="169" w:name="_Toc414425774"/>
      <w:bookmarkStart w:id="170" w:name="_Toc1349091686"/>
      <w:bookmarkStart w:id="171" w:name="_Toc1261391256"/>
      <w:bookmarkStart w:id="172" w:name="_Toc187828316"/>
      <w:bookmarkStart w:id="173" w:name="_Toc2067846636"/>
      <w:bookmarkStart w:id="174" w:name="_Toc64559645"/>
      <w:bookmarkStart w:id="175" w:name="_Toc2114862559"/>
      <w:bookmarkStart w:id="176" w:name="_Toc1627526457"/>
      <w:bookmarkStart w:id="177" w:name="_Toc1231505604"/>
      <w:bookmarkStart w:id="178" w:name="_Toc1429330457"/>
      <w:bookmarkStart w:id="179" w:name="_Toc957222260"/>
      <w:bookmarkStart w:id="180" w:name="_Toc2093709902"/>
      <w:bookmarkStart w:id="181" w:name="_Toc382213086"/>
      <w:bookmarkStart w:id="182" w:name="_Toc1349677767"/>
      <w:bookmarkStart w:id="183" w:name="_Toc272567276"/>
      <w:bookmarkStart w:id="184" w:name="_Toc37145527"/>
      <w:bookmarkStart w:id="185" w:name="_Toc901552009"/>
      <w:bookmarkStart w:id="186" w:name="_Toc1559773513"/>
      <w:bookmarkStart w:id="187" w:name="_Toc1295905690"/>
      <w:bookmarkStart w:id="188" w:name="_Toc404173541"/>
      <w:bookmarkStart w:id="189" w:name="_Toc1688739923"/>
      <w:bookmarkStart w:id="190" w:name="_Toc62116238"/>
      <w:bookmarkStart w:id="191" w:name="_Toc2116841283"/>
      <w:bookmarkStart w:id="192" w:name="_Toc2095296927"/>
      <w:bookmarkStart w:id="193" w:name="_Toc1085969517"/>
      <w:bookmarkStart w:id="194" w:name="_Toc92164511"/>
      <w:bookmarkStart w:id="195" w:name="_Toc946393132"/>
      <w:bookmarkStart w:id="196" w:name="_Toc428328290"/>
      <w:bookmarkStart w:id="197" w:name="_Toc2019442053"/>
      <w:bookmarkStart w:id="198" w:name="_Toc1059400935"/>
      <w:bookmarkStart w:id="199" w:name="_Toc417677239"/>
      <w:bookmarkStart w:id="200" w:name="_Toc94013158"/>
      <w:r>
        <w:t>Scope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BFF1B8C" w14:textId="77777777" w:rsidR="00DD2A1D" w:rsidRPr="003907AC" w:rsidRDefault="00DD2A1D" w:rsidP="006E18B1">
      <w:pPr>
        <w:pStyle w:val="BodyText"/>
      </w:pPr>
      <w:r w:rsidRPr="003907AC">
        <w:t xml:space="preserve">This sub-plan provides strategic information about the Victorian preparedness, mitigation, </w:t>
      </w:r>
      <w:proofErr w:type="gramStart"/>
      <w:r w:rsidRPr="003907AC">
        <w:t>response</w:t>
      </w:r>
      <w:proofErr w:type="gramEnd"/>
      <w:r w:rsidRPr="003907AC">
        <w:t xml:space="preserve"> and recovery arrangements for energy emergencies, with a focus on major emergencies that disrupt electricity, gas or liquid fuel supply.</w:t>
      </w:r>
    </w:p>
    <w:p w14:paraId="74D0A498" w14:textId="77777777" w:rsidR="00DD2A1D" w:rsidRPr="003907AC" w:rsidRDefault="00DD2A1D" w:rsidP="006E18B1">
      <w:pPr>
        <w:pStyle w:val="BodyText"/>
      </w:pPr>
      <w:r w:rsidRPr="003907AC">
        <w:t xml:space="preserve">This sub-plan does not include detail about the operational activities of individual agencies. </w:t>
      </w:r>
    </w:p>
    <w:p w14:paraId="03475A27" w14:textId="77777777" w:rsidR="00DD2A1D" w:rsidRPr="003907AC" w:rsidRDefault="00DD2A1D" w:rsidP="006E18B1">
      <w:pPr>
        <w:pStyle w:val="BodyText"/>
      </w:pPr>
      <w:r w:rsidRPr="003907AC">
        <w:t>This plan does not describe or duplicate the arrangements to manage Class 1 emergencies, or the arrangements to mitigate, respond and recover from emergency events impacting energy infrastructure and supply chains that are not Class 2 energy emergency events.</w:t>
      </w:r>
    </w:p>
    <w:p w14:paraId="635A3241" w14:textId="77777777" w:rsidR="00DD2A1D" w:rsidRPr="003907AC" w:rsidRDefault="00DD2A1D" w:rsidP="00DD2A1D">
      <w:pPr>
        <w:rPr>
          <w:color w:val="006794"/>
          <w:sz w:val="24"/>
          <w:szCs w:val="30"/>
        </w:rPr>
      </w:pPr>
      <w:bookmarkStart w:id="201" w:name="_Toc82274469"/>
      <w:bookmarkStart w:id="202" w:name="_Toc82350768"/>
      <w:r w:rsidRPr="003907AC">
        <w:br w:type="page"/>
      </w:r>
    </w:p>
    <w:p w14:paraId="1646C847" w14:textId="77777777" w:rsidR="00DD2A1D" w:rsidRPr="003907AC" w:rsidRDefault="00DD2A1D" w:rsidP="00DD2A1D">
      <w:pPr>
        <w:pStyle w:val="Heading2"/>
      </w:pPr>
      <w:bookmarkStart w:id="203" w:name="_Toc90319395"/>
      <w:bookmarkStart w:id="204" w:name="_Toc1310549173"/>
      <w:bookmarkStart w:id="205" w:name="_Toc1205280806"/>
      <w:bookmarkStart w:id="206" w:name="_Toc1427375729"/>
      <w:bookmarkStart w:id="207" w:name="_Toc1212689140"/>
      <w:bookmarkStart w:id="208" w:name="_Toc283133581"/>
      <w:bookmarkStart w:id="209" w:name="_Toc942003552"/>
      <w:bookmarkStart w:id="210" w:name="_Toc1171946606"/>
      <w:bookmarkStart w:id="211" w:name="_Toc1248253810"/>
      <w:bookmarkStart w:id="212" w:name="_Toc1679335497"/>
      <w:bookmarkStart w:id="213" w:name="_Toc1228929174"/>
      <w:bookmarkStart w:id="214" w:name="_Toc937904154"/>
      <w:bookmarkStart w:id="215" w:name="_Toc986647292"/>
      <w:bookmarkStart w:id="216" w:name="_Toc1417981685"/>
      <w:bookmarkStart w:id="217" w:name="_Toc515238196"/>
      <w:bookmarkStart w:id="218" w:name="_Toc1504938227"/>
      <w:bookmarkStart w:id="219" w:name="_Toc936510350"/>
      <w:bookmarkStart w:id="220" w:name="_Toc1818368106"/>
      <w:bookmarkStart w:id="221" w:name="_Toc809049221"/>
      <w:bookmarkStart w:id="222" w:name="_Toc647378535"/>
      <w:bookmarkStart w:id="223" w:name="_Toc478499617"/>
      <w:bookmarkStart w:id="224" w:name="_Toc651649005"/>
      <w:bookmarkStart w:id="225" w:name="_Toc981037767"/>
      <w:bookmarkStart w:id="226" w:name="_Toc1252141879"/>
      <w:bookmarkStart w:id="227" w:name="_Toc1002759372"/>
      <w:bookmarkStart w:id="228" w:name="_Toc233729414"/>
      <w:bookmarkStart w:id="229" w:name="_Toc201791057"/>
      <w:bookmarkStart w:id="230" w:name="_Toc2081223569"/>
      <w:bookmarkStart w:id="231" w:name="_Toc980049739"/>
      <w:bookmarkStart w:id="232" w:name="_Toc537232563"/>
      <w:bookmarkStart w:id="233" w:name="_Toc1899224788"/>
      <w:bookmarkStart w:id="234" w:name="_Toc1969039149"/>
      <w:bookmarkStart w:id="235" w:name="_Toc738177501"/>
      <w:bookmarkStart w:id="236" w:name="_Toc1698069858"/>
      <w:bookmarkStart w:id="237" w:name="_Toc553661091"/>
      <w:bookmarkStart w:id="238" w:name="_Toc2026747026"/>
      <w:bookmarkStart w:id="239" w:name="_Toc1088102416"/>
      <w:bookmarkStart w:id="240" w:name="_Toc1431112427"/>
      <w:bookmarkStart w:id="241" w:name="_Toc177889098"/>
      <w:bookmarkStart w:id="242" w:name="_Toc1671952957"/>
      <w:bookmarkStart w:id="243" w:name="_Toc829879493"/>
      <w:bookmarkStart w:id="244" w:name="_Toc1277409738"/>
      <w:bookmarkStart w:id="245" w:name="_Toc1446524374"/>
      <w:bookmarkStart w:id="246" w:name="_Toc1180143076"/>
      <w:bookmarkStart w:id="247" w:name="_Toc1188463581"/>
      <w:bookmarkStart w:id="248" w:name="_Toc638400866"/>
      <w:bookmarkStart w:id="249" w:name="_Ref92436099"/>
      <w:bookmarkStart w:id="250" w:name="_Toc94013159"/>
      <w:r>
        <w:lastRenderedPageBreak/>
        <w:t>Linkages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47DFC0C" w14:textId="77777777" w:rsidR="00DD2A1D" w:rsidRPr="003907AC" w:rsidRDefault="00DD2A1D" w:rsidP="00DD2BEA">
      <w:pPr>
        <w:pStyle w:val="BodyText"/>
      </w:pPr>
      <w:r w:rsidRPr="003907AC">
        <w:t>There are several plans and arrangements that contribute to the management of energy emergencies.</w:t>
      </w:r>
    </w:p>
    <w:p w14:paraId="603B314C" w14:textId="35CA095E" w:rsidR="00DD2A1D" w:rsidRPr="003907AC" w:rsidRDefault="00DD2A1D" w:rsidP="00DD2A1D">
      <w:pPr>
        <w:pStyle w:val="Caption"/>
      </w:pPr>
      <w:r w:rsidRPr="003907AC">
        <w:t xml:space="preserve">Table </w:t>
      </w:r>
      <w:r w:rsidRPr="003907AC">
        <w:fldChar w:fldCharType="begin"/>
      </w:r>
      <w:r w:rsidRPr="003907AC">
        <w:instrText>SEQ Table \* ARABIC</w:instrText>
      </w:r>
      <w:r w:rsidRPr="003907AC">
        <w:fldChar w:fldCharType="separate"/>
      </w:r>
      <w:r w:rsidR="00A45804">
        <w:rPr>
          <w:noProof/>
        </w:rPr>
        <w:t>1</w:t>
      </w:r>
      <w:r w:rsidRPr="003907AC">
        <w:fldChar w:fldCharType="end"/>
      </w:r>
      <w:r w:rsidRPr="003907AC">
        <w:t xml:space="preserve">: </w:t>
      </w:r>
      <w:r w:rsidR="00812EAE">
        <w:t>S</w:t>
      </w:r>
      <w:r w:rsidR="00812EAE" w:rsidRPr="003907AC">
        <w:t xml:space="preserve">ummary </w:t>
      </w:r>
      <w:r w:rsidRPr="003907AC">
        <w:t>of related plans and arrangements</w:t>
      </w:r>
    </w:p>
    <w:tbl>
      <w:tblPr>
        <w:tblW w:w="8767" w:type="dxa"/>
        <w:tblCellSpacing w:w="28" w:type="dxa"/>
        <w:tblInd w:w="101" w:type="dxa"/>
        <w:tblLayout w:type="fixed"/>
        <w:tblCellMar>
          <w:top w:w="142" w:type="dxa"/>
          <w:left w:w="142" w:type="dxa"/>
          <w:bottom w:w="142" w:type="dxa"/>
          <w:right w:w="142" w:type="dxa"/>
        </w:tblCellMar>
        <w:tblLook w:val="0000" w:firstRow="0" w:lastRow="0" w:firstColumn="0" w:lastColumn="0" w:noHBand="0" w:noVBand="0"/>
      </w:tblPr>
      <w:tblGrid>
        <w:gridCol w:w="2312"/>
        <w:gridCol w:w="6455"/>
      </w:tblGrid>
      <w:tr w:rsidR="00DD2A1D" w:rsidRPr="003907AC" w14:paraId="13024C2B" w14:textId="77777777" w:rsidTr="7EA0B018">
        <w:trPr>
          <w:tblHeader/>
          <w:tblCellSpacing w:w="28" w:type="dxa"/>
        </w:trPr>
        <w:tc>
          <w:tcPr>
            <w:tcW w:w="2228" w:type="dxa"/>
            <w:tcBorders>
              <w:top w:val="nil"/>
              <w:left w:val="single" w:sz="8" w:space="0" w:color="FFFFFF" w:themeColor="background1"/>
              <w:bottom w:val="single" w:sz="8" w:space="0" w:color="FFFFFF" w:themeColor="background1"/>
              <w:right w:val="single" w:sz="8" w:space="0" w:color="FFFFFF" w:themeColor="background1"/>
            </w:tcBorders>
            <w:shd w:val="clear" w:color="auto" w:fill="363534" w:themeFill="text1"/>
          </w:tcPr>
          <w:p w14:paraId="59DF21C0" w14:textId="77777777" w:rsidR="00DD2A1D" w:rsidRPr="003907AC" w:rsidRDefault="00DD2A1D" w:rsidP="00DD2A1D">
            <w:pPr>
              <w:pStyle w:val="TableHeading"/>
              <w:keepNext/>
            </w:pPr>
            <w:r w:rsidRPr="003907AC">
              <w:t>Document</w:t>
            </w:r>
          </w:p>
        </w:tc>
        <w:tc>
          <w:tcPr>
            <w:tcW w:w="6371" w:type="dxa"/>
            <w:tcBorders>
              <w:top w:val="nil"/>
              <w:left w:val="single" w:sz="8" w:space="0" w:color="FFFFFF" w:themeColor="background1"/>
              <w:bottom w:val="single" w:sz="8" w:space="0" w:color="FFFFFF" w:themeColor="background1"/>
              <w:right w:val="nil"/>
            </w:tcBorders>
            <w:shd w:val="clear" w:color="auto" w:fill="363534" w:themeFill="text1"/>
          </w:tcPr>
          <w:p w14:paraId="601EA73A" w14:textId="77777777" w:rsidR="00DD2A1D" w:rsidRPr="003907AC" w:rsidRDefault="00DD2A1D" w:rsidP="00DD2A1D">
            <w:pPr>
              <w:pStyle w:val="TableHeading"/>
              <w:keepNext/>
            </w:pPr>
            <w:r w:rsidRPr="003907AC">
              <w:t>Description</w:t>
            </w:r>
          </w:p>
        </w:tc>
      </w:tr>
      <w:tr w:rsidR="00DD2A1D" w:rsidRPr="003907AC" w14:paraId="1DEA5D60" w14:textId="77777777" w:rsidTr="7EA0B018">
        <w:trPr>
          <w:tblCellSpacing w:w="28" w:type="dxa"/>
        </w:trPr>
        <w:tc>
          <w:tcPr>
            <w:tcW w:w="2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A30B6E8" w14:textId="77777777" w:rsidR="00DD2A1D" w:rsidRPr="003907AC" w:rsidRDefault="00DD2A1D" w:rsidP="00DD2A1D">
            <w:pPr>
              <w:pStyle w:val="Tabletext"/>
              <w:spacing w:after="120" w:line="240" w:lineRule="auto"/>
              <w:rPr>
                <w:sz w:val="16"/>
                <w:szCs w:val="16"/>
              </w:rPr>
            </w:pPr>
            <w:r w:rsidRPr="003907AC">
              <w:rPr>
                <w:sz w:val="16"/>
                <w:szCs w:val="16"/>
              </w:rPr>
              <w:t xml:space="preserve">State Emergency Management Plan </w:t>
            </w:r>
          </w:p>
        </w:tc>
        <w:tc>
          <w:tcPr>
            <w:tcW w:w="6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9E5BF58" w14:textId="77777777" w:rsidR="00DD2A1D" w:rsidRPr="003907AC" w:rsidRDefault="00DD2A1D" w:rsidP="00DD2A1D">
            <w:pPr>
              <w:pStyle w:val="Tabletext"/>
              <w:spacing w:after="120" w:line="240" w:lineRule="auto"/>
              <w:rPr>
                <w:rFonts w:eastAsia="Calibri"/>
                <w:sz w:val="16"/>
                <w:szCs w:val="16"/>
                <w:lang w:eastAsia="en-US"/>
              </w:rPr>
            </w:pPr>
            <w:r w:rsidRPr="003907AC">
              <w:rPr>
                <w:rFonts w:eastAsia="Calibri"/>
                <w:sz w:val="16"/>
                <w:szCs w:val="16"/>
                <w:lang w:eastAsia="en-US"/>
              </w:rPr>
              <w:t xml:space="preserve">Within the SEMP, tables 8 and 9 outline arrangements for the coordinated management of emergency activities and services and tables 11- 18 outline relief and recovery roles and responsibilities for functions and activities under the four environments, Social, Economic, Built and Natural, in Victoria. </w:t>
            </w:r>
          </w:p>
        </w:tc>
      </w:tr>
      <w:tr w:rsidR="00DD2A1D" w:rsidRPr="003907AC" w14:paraId="4BF789DF" w14:textId="77777777" w:rsidTr="7EA0B018">
        <w:trPr>
          <w:trHeight w:val="546"/>
          <w:tblCellSpacing w:w="28" w:type="dxa"/>
        </w:trPr>
        <w:tc>
          <w:tcPr>
            <w:tcW w:w="2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30CED83" w14:textId="77777777" w:rsidR="00DD2A1D" w:rsidRPr="003907AC" w:rsidRDefault="00DD2A1D" w:rsidP="00DD2A1D">
            <w:pPr>
              <w:pStyle w:val="Tabletext"/>
              <w:spacing w:after="120" w:line="240" w:lineRule="auto"/>
              <w:rPr>
                <w:sz w:val="16"/>
                <w:szCs w:val="16"/>
              </w:rPr>
            </w:pPr>
            <w:r w:rsidRPr="003907AC">
              <w:rPr>
                <w:sz w:val="16"/>
                <w:szCs w:val="16"/>
              </w:rPr>
              <w:t>Policies and Procedures</w:t>
            </w:r>
          </w:p>
        </w:tc>
        <w:tc>
          <w:tcPr>
            <w:tcW w:w="6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20098EC" w14:textId="77777777" w:rsidR="00DD2A1D" w:rsidRPr="003907AC" w:rsidRDefault="00DD2A1D" w:rsidP="00DD2A1D">
            <w:pPr>
              <w:pStyle w:val="Tabletext"/>
              <w:spacing w:after="120" w:line="240" w:lineRule="auto"/>
              <w:rPr>
                <w:sz w:val="16"/>
                <w:szCs w:val="16"/>
              </w:rPr>
            </w:pPr>
            <w:r w:rsidRPr="003907AC">
              <w:rPr>
                <w:sz w:val="16"/>
                <w:szCs w:val="16"/>
              </w:rPr>
              <w:t xml:space="preserve">Plans and standard operating procedures are in place to guide DELWP, other government agencies and the energy industry to prepare for, monitor and respond to energy incidents and energy emergencies. </w:t>
            </w:r>
          </w:p>
        </w:tc>
      </w:tr>
      <w:tr w:rsidR="00DD2A1D" w:rsidRPr="003907AC" w14:paraId="58F632ED" w14:textId="77777777" w:rsidTr="7EA0B018">
        <w:trPr>
          <w:tblCellSpacing w:w="28" w:type="dxa"/>
        </w:trPr>
        <w:tc>
          <w:tcPr>
            <w:tcW w:w="2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2711EAE" w14:textId="77777777" w:rsidR="00DD2A1D" w:rsidRPr="003907AC" w:rsidRDefault="00DD2A1D" w:rsidP="00DD2A1D">
            <w:pPr>
              <w:pStyle w:val="Tabletext"/>
              <w:spacing w:after="120" w:line="240" w:lineRule="auto"/>
              <w:rPr>
                <w:sz w:val="16"/>
                <w:szCs w:val="16"/>
              </w:rPr>
            </w:pPr>
            <w:r w:rsidRPr="003907AC">
              <w:rPr>
                <w:sz w:val="16"/>
                <w:szCs w:val="16"/>
              </w:rPr>
              <w:t>Joint national and industry plans</w:t>
            </w:r>
          </w:p>
        </w:tc>
        <w:tc>
          <w:tcPr>
            <w:tcW w:w="6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8B2DDE9" w14:textId="77777777" w:rsidR="00DD2A1D" w:rsidRPr="003907AC" w:rsidRDefault="00DD2A1D" w:rsidP="00DD2A1D">
            <w:pPr>
              <w:pStyle w:val="Tabletext"/>
              <w:spacing w:after="120" w:line="240" w:lineRule="auto"/>
              <w:rPr>
                <w:sz w:val="16"/>
                <w:szCs w:val="16"/>
              </w:rPr>
            </w:pPr>
            <w:r w:rsidRPr="003907AC">
              <w:rPr>
                <w:sz w:val="16"/>
                <w:szCs w:val="16"/>
              </w:rPr>
              <w:t>Joint plans and standard operating procedures and governance arrangements to support state and territory government and industry, allowing these agencies to jointly prepare for, monitor and respond to energy incidents and energy emergencies.</w:t>
            </w:r>
          </w:p>
          <w:p w14:paraId="00F838A5" w14:textId="77777777" w:rsidR="00DD2A1D" w:rsidRPr="003907AC" w:rsidRDefault="00DD2A1D" w:rsidP="00DD2A1D">
            <w:pPr>
              <w:pStyle w:val="Tabletext"/>
              <w:spacing w:after="120" w:line="240" w:lineRule="auto"/>
              <w:rPr>
                <w:rFonts w:eastAsia="Calibri"/>
                <w:sz w:val="16"/>
                <w:szCs w:val="16"/>
                <w:lang w:eastAsia="en-US"/>
              </w:rPr>
            </w:pPr>
            <w:r w:rsidRPr="003907AC">
              <w:rPr>
                <w:rFonts w:eastAsia="Calibri"/>
                <w:sz w:val="16"/>
                <w:szCs w:val="16"/>
                <w:lang w:eastAsia="en-US"/>
              </w:rPr>
              <w:t>These include the following:</w:t>
            </w:r>
          </w:p>
          <w:p w14:paraId="4DA1D54D"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National Electricity Market Memorandum of Understanding on the Use of Emergency Powers (National Electricity Market Emergency Protocol)</w:t>
            </w:r>
          </w:p>
          <w:p w14:paraId="5480D020"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 xml:space="preserve">National Electricity Market Emergency Management Forum Power System Emergency Management Plan </w:t>
            </w:r>
          </w:p>
          <w:p w14:paraId="6CBD492B"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209E87F7">
              <w:rPr>
                <w:rFonts w:eastAsia="Calibri"/>
                <w:sz w:val="16"/>
                <w:szCs w:val="16"/>
                <w:lang w:eastAsia="en-US"/>
              </w:rPr>
              <w:t>National Gas Emergency Response Advisory Committee Interruption to Supply Process</w:t>
            </w:r>
          </w:p>
          <w:p w14:paraId="632DFCEA" w14:textId="7C93F2EE" w:rsidR="6C1C033E" w:rsidRDefault="6C1C033E" w:rsidP="209E87F7">
            <w:pPr>
              <w:pStyle w:val="Tabletext"/>
              <w:numPr>
                <w:ilvl w:val="0"/>
                <w:numId w:val="25"/>
              </w:numPr>
              <w:spacing w:after="120" w:line="240" w:lineRule="auto"/>
              <w:rPr>
                <w:rFonts w:asciiTheme="minorHAnsi" w:eastAsiaTheme="minorEastAsia" w:hAnsiTheme="minorHAnsi" w:cstheme="minorBidi"/>
                <w:sz w:val="16"/>
                <w:szCs w:val="16"/>
                <w:lang w:eastAsia="en-US"/>
              </w:rPr>
            </w:pPr>
            <w:r w:rsidRPr="209E87F7">
              <w:rPr>
                <w:sz w:val="16"/>
                <w:szCs w:val="16"/>
                <w:lang w:eastAsia="en-US"/>
              </w:rPr>
              <w:t>Gas Emergency Protocol</w:t>
            </w:r>
          </w:p>
          <w:p w14:paraId="34ACE5E4"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Victorian Electricity Emergency Communication Protocol</w:t>
            </w:r>
          </w:p>
          <w:p w14:paraId="67FC2BA0"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Single Industry Spokesperson Protocol for Electricity in Victoria (2019)</w:t>
            </w:r>
          </w:p>
          <w:p w14:paraId="5022841F"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Victorian Gas Emergency Communication Protocol</w:t>
            </w:r>
          </w:p>
          <w:p w14:paraId="573381C9"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Single Industry Spokesperson Protocol</w:t>
            </w:r>
            <w:r w:rsidRPr="003907AC">
              <w:rPr>
                <w:sz w:val="16"/>
                <w:szCs w:val="16"/>
              </w:rPr>
              <w:t xml:space="preserve"> for Gas in Victoria (2019)</w:t>
            </w:r>
          </w:p>
          <w:p w14:paraId="6E06E4C4"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National Liquid Fuel Emergency Response Protocol</w:t>
            </w:r>
          </w:p>
          <w:p w14:paraId="198330DC" w14:textId="77777777" w:rsidR="00DD2A1D" w:rsidRPr="003907AC" w:rsidRDefault="00DD2A1D" w:rsidP="00DD2BEA">
            <w:pPr>
              <w:pStyle w:val="Tabletext"/>
              <w:numPr>
                <w:ilvl w:val="0"/>
                <w:numId w:val="25"/>
              </w:numPr>
              <w:spacing w:after="120" w:line="240" w:lineRule="auto"/>
              <w:rPr>
                <w:rFonts w:eastAsia="Calibri"/>
                <w:sz w:val="16"/>
                <w:szCs w:val="16"/>
                <w:lang w:eastAsia="en-US"/>
              </w:rPr>
            </w:pPr>
            <w:r w:rsidRPr="003907AC">
              <w:rPr>
                <w:rFonts w:eastAsia="Calibri"/>
                <w:sz w:val="16"/>
                <w:szCs w:val="16"/>
                <w:lang w:eastAsia="en-US"/>
              </w:rPr>
              <w:t>Australian Institute of Petroleum (AIP) Communications Protocol (2015).</w:t>
            </w:r>
          </w:p>
        </w:tc>
      </w:tr>
      <w:tr w:rsidR="00DD2A1D" w:rsidRPr="003907AC" w14:paraId="04313287" w14:textId="77777777" w:rsidTr="7EA0B018">
        <w:trPr>
          <w:tblCellSpacing w:w="28" w:type="dxa"/>
        </w:trPr>
        <w:tc>
          <w:tcPr>
            <w:tcW w:w="2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80C811D" w14:textId="77777777" w:rsidR="00DD2A1D" w:rsidRPr="003907AC" w:rsidRDefault="00DD2A1D" w:rsidP="00DD2A1D">
            <w:pPr>
              <w:pStyle w:val="Tabletext"/>
              <w:spacing w:after="120" w:line="240" w:lineRule="auto"/>
              <w:rPr>
                <w:sz w:val="16"/>
                <w:szCs w:val="16"/>
              </w:rPr>
            </w:pPr>
            <w:r w:rsidRPr="003907AC">
              <w:rPr>
                <w:sz w:val="16"/>
                <w:szCs w:val="16"/>
              </w:rPr>
              <w:t xml:space="preserve">Related legislation  </w:t>
            </w:r>
          </w:p>
        </w:tc>
        <w:tc>
          <w:tcPr>
            <w:tcW w:w="6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2C23FA2" w14:textId="77777777" w:rsidR="00DD2A1D" w:rsidRPr="003907AC" w:rsidRDefault="00DD2A1D" w:rsidP="00DD2A1D">
            <w:pPr>
              <w:pStyle w:val="Tabletext"/>
              <w:spacing w:after="120" w:line="240" w:lineRule="auto"/>
              <w:rPr>
                <w:sz w:val="16"/>
                <w:szCs w:val="16"/>
              </w:rPr>
            </w:pPr>
            <w:r w:rsidRPr="003907AC">
              <w:rPr>
                <w:sz w:val="16"/>
                <w:szCs w:val="16"/>
              </w:rPr>
              <w:t>The following legislation is directly relevant to the management of Class 2 energy emergencies:</w:t>
            </w:r>
          </w:p>
          <w:p w14:paraId="410FD456" w14:textId="77777777" w:rsidR="00DD2A1D" w:rsidRPr="003907AC" w:rsidRDefault="00DD2A1D" w:rsidP="00DD2BEA">
            <w:pPr>
              <w:pStyle w:val="Tabletext"/>
              <w:numPr>
                <w:ilvl w:val="0"/>
                <w:numId w:val="25"/>
              </w:numPr>
              <w:spacing w:after="120" w:line="240" w:lineRule="auto"/>
              <w:rPr>
                <w:rFonts w:eastAsia="Calibri"/>
                <w:i/>
                <w:iCs/>
                <w:sz w:val="16"/>
                <w:szCs w:val="16"/>
                <w:lang w:eastAsia="en-US"/>
              </w:rPr>
            </w:pPr>
            <w:r w:rsidRPr="003907AC">
              <w:rPr>
                <w:i/>
                <w:iCs/>
                <w:sz w:val="16"/>
                <w:szCs w:val="16"/>
              </w:rPr>
              <w:t xml:space="preserve">Liquid </w:t>
            </w:r>
            <w:r w:rsidRPr="003907AC">
              <w:rPr>
                <w:rFonts w:eastAsia="Calibri"/>
                <w:i/>
                <w:iCs/>
                <w:sz w:val="16"/>
                <w:szCs w:val="16"/>
                <w:lang w:eastAsia="en-US"/>
              </w:rPr>
              <w:t>Fuels Emergency Act 1984 (</w:t>
            </w:r>
            <w:proofErr w:type="spellStart"/>
            <w:r w:rsidRPr="003907AC">
              <w:rPr>
                <w:rFonts w:eastAsia="Calibri"/>
                <w:i/>
                <w:iCs/>
                <w:sz w:val="16"/>
                <w:szCs w:val="16"/>
                <w:lang w:eastAsia="en-US"/>
              </w:rPr>
              <w:t>Cth</w:t>
            </w:r>
            <w:proofErr w:type="spellEnd"/>
            <w:r w:rsidRPr="003907AC">
              <w:rPr>
                <w:rFonts w:eastAsia="Calibri"/>
                <w:i/>
                <w:iCs/>
                <w:sz w:val="16"/>
                <w:szCs w:val="16"/>
                <w:lang w:eastAsia="en-US"/>
              </w:rPr>
              <w:t>)</w:t>
            </w:r>
          </w:p>
          <w:p w14:paraId="1751C0B6" w14:textId="061C8021" w:rsidR="00DD2A1D" w:rsidRPr="003907AC" w:rsidRDefault="679868F5" w:rsidP="7EA0B018">
            <w:pPr>
              <w:pStyle w:val="Tabletext"/>
              <w:numPr>
                <w:ilvl w:val="0"/>
                <w:numId w:val="25"/>
              </w:numPr>
              <w:spacing w:after="120" w:line="240" w:lineRule="auto"/>
              <w:rPr>
                <w:rFonts w:eastAsia="Calibri"/>
                <w:i/>
                <w:iCs/>
                <w:sz w:val="16"/>
                <w:szCs w:val="16"/>
                <w:lang w:eastAsia="en-US"/>
              </w:rPr>
            </w:pPr>
            <w:r w:rsidRPr="7EA0B018">
              <w:rPr>
                <w:rFonts w:eastAsia="Calibri"/>
                <w:i/>
                <w:iCs/>
                <w:sz w:val="16"/>
                <w:szCs w:val="16"/>
                <w:lang w:eastAsia="en-US"/>
              </w:rPr>
              <w:t>National Electricity Law</w:t>
            </w:r>
          </w:p>
          <w:p w14:paraId="5EEEEAE0" w14:textId="061C8021" w:rsidR="1E7B2C55" w:rsidRDefault="1E7B2C55" w:rsidP="7EA0B018">
            <w:pPr>
              <w:pStyle w:val="Tabletext"/>
              <w:numPr>
                <w:ilvl w:val="0"/>
                <w:numId w:val="25"/>
              </w:numPr>
              <w:spacing w:after="120" w:line="240" w:lineRule="auto"/>
              <w:rPr>
                <w:rFonts w:asciiTheme="minorHAnsi" w:eastAsiaTheme="minorEastAsia" w:hAnsiTheme="minorHAnsi" w:cstheme="minorBidi"/>
                <w:i/>
                <w:iCs/>
                <w:sz w:val="16"/>
                <w:szCs w:val="16"/>
                <w:lang w:eastAsia="en-US"/>
              </w:rPr>
            </w:pPr>
            <w:r w:rsidRPr="7EA0B018">
              <w:rPr>
                <w:i/>
                <w:iCs/>
                <w:sz w:val="16"/>
                <w:szCs w:val="16"/>
                <w:lang w:eastAsia="en-US"/>
              </w:rPr>
              <w:t>National Gas (Victoria) Act 2008</w:t>
            </w:r>
          </w:p>
          <w:p w14:paraId="365AB4F3" w14:textId="77777777" w:rsidR="00DD2A1D" w:rsidRPr="003907AC" w:rsidRDefault="00DD2A1D" w:rsidP="00DD2BEA">
            <w:pPr>
              <w:pStyle w:val="Tabletext"/>
              <w:numPr>
                <w:ilvl w:val="0"/>
                <w:numId w:val="25"/>
              </w:numPr>
              <w:spacing w:after="120" w:line="240" w:lineRule="auto"/>
              <w:rPr>
                <w:rFonts w:eastAsia="Calibri"/>
                <w:i/>
                <w:iCs/>
                <w:sz w:val="16"/>
                <w:szCs w:val="16"/>
                <w:lang w:eastAsia="en-US"/>
              </w:rPr>
            </w:pPr>
            <w:r w:rsidRPr="003907AC">
              <w:rPr>
                <w:rFonts w:eastAsia="Calibri"/>
                <w:i/>
                <w:iCs/>
                <w:sz w:val="16"/>
                <w:szCs w:val="16"/>
                <w:lang w:eastAsia="en-US"/>
              </w:rPr>
              <w:t>Electricity Distribution Code 2021</w:t>
            </w:r>
          </w:p>
          <w:p w14:paraId="50DC95E8" w14:textId="77777777" w:rsidR="00DD2A1D" w:rsidRPr="003907AC" w:rsidRDefault="00DD2A1D" w:rsidP="00DD2BEA">
            <w:pPr>
              <w:pStyle w:val="Tabletext"/>
              <w:numPr>
                <w:ilvl w:val="0"/>
                <w:numId w:val="25"/>
              </w:numPr>
              <w:spacing w:after="120" w:line="240" w:lineRule="auto"/>
              <w:rPr>
                <w:rFonts w:eastAsia="Calibri"/>
                <w:i/>
                <w:iCs/>
                <w:sz w:val="16"/>
                <w:szCs w:val="16"/>
                <w:lang w:eastAsia="en-US"/>
              </w:rPr>
            </w:pPr>
            <w:r w:rsidRPr="003907AC">
              <w:rPr>
                <w:rFonts w:eastAsia="Calibri"/>
                <w:i/>
                <w:iCs/>
                <w:sz w:val="16"/>
                <w:szCs w:val="16"/>
                <w:lang w:eastAsia="en-US"/>
              </w:rPr>
              <w:t>Electricity Industry Act 2000</w:t>
            </w:r>
          </w:p>
          <w:p w14:paraId="396FD7FF" w14:textId="77777777" w:rsidR="00DD2A1D" w:rsidRPr="003907AC" w:rsidRDefault="00DD2A1D" w:rsidP="00DD2BEA">
            <w:pPr>
              <w:pStyle w:val="Tabletext"/>
              <w:numPr>
                <w:ilvl w:val="0"/>
                <w:numId w:val="25"/>
              </w:numPr>
              <w:spacing w:after="120" w:line="240" w:lineRule="auto"/>
              <w:rPr>
                <w:rFonts w:eastAsia="Calibri"/>
                <w:i/>
                <w:iCs/>
                <w:sz w:val="16"/>
                <w:szCs w:val="16"/>
                <w:lang w:eastAsia="en-US"/>
              </w:rPr>
            </w:pPr>
            <w:r w:rsidRPr="003907AC">
              <w:rPr>
                <w:rFonts w:eastAsia="Calibri"/>
                <w:i/>
                <w:iCs/>
                <w:sz w:val="16"/>
                <w:szCs w:val="16"/>
                <w:lang w:eastAsia="en-US"/>
              </w:rPr>
              <w:t>Electricity Safety Act 1998</w:t>
            </w:r>
          </w:p>
          <w:p w14:paraId="12BE2F00" w14:textId="77777777" w:rsidR="00DD2A1D" w:rsidRPr="003907AC" w:rsidRDefault="00DD2A1D" w:rsidP="00DD2BEA">
            <w:pPr>
              <w:pStyle w:val="Tabletext"/>
              <w:numPr>
                <w:ilvl w:val="0"/>
                <w:numId w:val="25"/>
              </w:numPr>
              <w:spacing w:after="120" w:line="240" w:lineRule="auto"/>
              <w:rPr>
                <w:rFonts w:eastAsia="Calibri"/>
                <w:i/>
                <w:iCs/>
                <w:sz w:val="16"/>
                <w:szCs w:val="16"/>
                <w:lang w:eastAsia="en-US"/>
              </w:rPr>
            </w:pPr>
            <w:r w:rsidRPr="003907AC">
              <w:rPr>
                <w:rFonts w:eastAsia="Calibri"/>
                <w:i/>
                <w:iCs/>
                <w:sz w:val="16"/>
                <w:szCs w:val="16"/>
                <w:lang w:eastAsia="en-US"/>
              </w:rPr>
              <w:t>Gas Industry Act 2001</w:t>
            </w:r>
          </w:p>
          <w:p w14:paraId="251DD2EA" w14:textId="77777777" w:rsidR="00DD2A1D" w:rsidRPr="003907AC" w:rsidRDefault="00DD2A1D" w:rsidP="00DD2BEA">
            <w:pPr>
              <w:pStyle w:val="Tabletext"/>
              <w:numPr>
                <w:ilvl w:val="0"/>
                <w:numId w:val="25"/>
              </w:numPr>
              <w:spacing w:after="120" w:line="240" w:lineRule="auto"/>
              <w:rPr>
                <w:sz w:val="16"/>
                <w:szCs w:val="16"/>
              </w:rPr>
            </w:pPr>
            <w:r w:rsidRPr="003907AC">
              <w:rPr>
                <w:rFonts w:eastAsia="Calibri"/>
                <w:i/>
                <w:iCs/>
                <w:sz w:val="16"/>
                <w:szCs w:val="16"/>
                <w:lang w:eastAsia="en-US"/>
              </w:rPr>
              <w:t>Gas Safety Act 1997</w:t>
            </w:r>
          </w:p>
        </w:tc>
      </w:tr>
      <w:tr w:rsidR="00DD2A1D" w:rsidRPr="003907AC" w14:paraId="310A15B4" w14:textId="77777777" w:rsidTr="7EA0B018">
        <w:trPr>
          <w:tblCellSpacing w:w="28" w:type="dxa"/>
        </w:trPr>
        <w:tc>
          <w:tcPr>
            <w:tcW w:w="22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6C1E83" w14:textId="77777777" w:rsidR="00DD2A1D" w:rsidRPr="003907AC" w:rsidRDefault="00DD2A1D" w:rsidP="00DD2A1D">
            <w:pPr>
              <w:pStyle w:val="Tabletext"/>
              <w:spacing w:after="120" w:line="240" w:lineRule="auto"/>
              <w:rPr>
                <w:sz w:val="16"/>
                <w:szCs w:val="16"/>
              </w:rPr>
            </w:pPr>
            <w:r w:rsidRPr="003907AC">
              <w:rPr>
                <w:sz w:val="16"/>
                <w:szCs w:val="16"/>
              </w:rPr>
              <w:lastRenderedPageBreak/>
              <w:t>Emergency Management Plans</w:t>
            </w:r>
          </w:p>
        </w:tc>
        <w:tc>
          <w:tcPr>
            <w:tcW w:w="6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4DB6DA4" w14:textId="77777777" w:rsidR="00DD2A1D" w:rsidRPr="003907AC" w:rsidRDefault="00DD2A1D" w:rsidP="00DD2A1D">
            <w:pPr>
              <w:pStyle w:val="Tabletext"/>
              <w:spacing w:after="120" w:line="240" w:lineRule="auto"/>
              <w:rPr>
                <w:sz w:val="16"/>
                <w:szCs w:val="16"/>
              </w:rPr>
            </w:pPr>
            <w:r w:rsidRPr="003907AC">
              <w:rPr>
                <w:sz w:val="16"/>
                <w:szCs w:val="16"/>
              </w:rPr>
              <w:t xml:space="preserve">Emergency management plans are prepared, </w:t>
            </w:r>
            <w:proofErr w:type="gramStart"/>
            <w:r w:rsidRPr="003907AC">
              <w:rPr>
                <w:sz w:val="16"/>
                <w:szCs w:val="16"/>
              </w:rPr>
              <w:t>maintained</w:t>
            </w:r>
            <w:proofErr w:type="gramEnd"/>
            <w:r w:rsidRPr="003907AC">
              <w:rPr>
                <w:sz w:val="16"/>
                <w:szCs w:val="16"/>
              </w:rPr>
              <w:t xml:space="preserve"> and exercised by businesses, the community and infrastructure owners. These entities will activate their plans in response to an energy emergency when pre-determined triggers are met.  </w:t>
            </w:r>
          </w:p>
        </w:tc>
      </w:tr>
    </w:tbl>
    <w:p w14:paraId="6AEF6E28" w14:textId="77777777" w:rsidR="00DD2A1D" w:rsidRPr="003907AC" w:rsidRDefault="00DD2A1D" w:rsidP="00DD2A1D">
      <w:pPr>
        <w:pStyle w:val="BodyText"/>
      </w:pPr>
    </w:p>
    <w:p w14:paraId="7E61F794" w14:textId="77777777" w:rsidR="00DD2A1D" w:rsidRPr="003907AC" w:rsidRDefault="00DD2A1D" w:rsidP="00DD2A1D">
      <w:pPr>
        <w:pStyle w:val="Heading2"/>
      </w:pPr>
      <w:bookmarkStart w:id="251" w:name="_Toc90319396"/>
      <w:bookmarkStart w:id="252" w:name="_Toc2013933260"/>
      <w:bookmarkStart w:id="253" w:name="_Toc773383042"/>
      <w:bookmarkStart w:id="254" w:name="_Toc794311127"/>
      <w:bookmarkStart w:id="255" w:name="_Toc682195991"/>
      <w:bookmarkStart w:id="256" w:name="_Toc2004860660"/>
      <w:bookmarkStart w:id="257" w:name="_Toc2034609107"/>
      <w:bookmarkStart w:id="258" w:name="_Toc6745829"/>
      <w:bookmarkStart w:id="259" w:name="_Toc216154764"/>
      <w:bookmarkStart w:id="260" w:name="_Toc2027694906"/>
      <w:bookmarkStart w:id="261" w:name="_Toc242507146"/>
      <w:bookmarkStart w:id="262" w:name="_Toc741429436"/>
      <w:bookmarkStart w:id="263" w:name="_Toc640659504"/>
      <w:bookmarkStart w:id="264" w:name="_Toc243587474"/>
      <w:bookmarkStart w:id="265" w:name="_Toc1526635250"/>
      <w:bookmarkStart w:id="266" w:name="_Toc1601352020"/>
      <w:bookmarkStart w:id="267" w:name="_Toc721205208"/>
      <w:bookmarkStart w:id="268" w:name="_Toc1080932152"/>
      <w:bookmarkStart w:id="269" w:name="_Toc2054477413"/>
      <w:bookmarkStart w:id="270" w:name="_Toc983435255"/>
      <w:bookmarkStart w:id="271" w:name="_Toc581043506"/>
      <w:bookmarkStart w:id="272" w:name="_Toc1232342105"/>
      <w:bookmarkStart w:id="273" w:name="_Toc2126976696"/>
      <w:bookmarkStart w:id="274" w:name="_Toc1652075231"/>
      <w:bookmarkStart w:id="275" w:name="_Toc456402453"/>
      <w:bookmarkStart w:id="276" w:name="_Toc607077938"/>
      <w:bookmarkStart w:id="277" w:name="_Toc1531598085"/>
      <w:bookmarkStart w:id="278" w:name="_Toc602283712"/>
      <w:bookmarkStart w:id="279" w:name="_Toc588751033"/>
      <w:bookmarkStart w:id="280" w:name="_Toc166888037"/>
      <w:bookmarkStart w:id="281" w:name="_Toc548089940"/>
      <w:bookmarkStart w:id="282" w:name="_Toc78401200"/>
      <w:bookmarkStart w:id="283" w:name="_Toc1715250193"/>
      <w:bookmarkStart w:id="284" w:name="_Toc1119014179"/>
      <w:bookmarkStart w:id="285" w:name="_Toc281974986"/>
      <w:bookmarkStart w:id="286" w:name="_Toc305098425"/>
      <w:bookmarkStart w:id="287" w:name="_Toc1311028867"/>
      <w:bookmarkStart w:id="288" w:name="_Toc521585205"/>
      <w:bookmarkStart w:id="289" w:name="_Toc1295599826"/>
      <w:bookmarkStart w:id="290" w:name="_Toc940998940"/>
      <w:bookmarkStart w:id="291" w:name="_Toc670174624"/>
      <w:bookmarkStart w:id="292" w:name="_Toc1692222833"/>
      <w:bookmarkStart w:id="293" w:name="_Toc330112593"/>
      <w:bookmarkStart w:id="294" w:name="_Toc790594320"/>
      <w:bookmarkStart w:id="295" w:name="_Toc989493992"/>
      <w:bookmarkStart w:id="296" w:name="_Toc1261661840"/>
      <w:bookmarkStart w:id="297" w:name="_Toc94013160"/>
      <w:r>
        <w:t>Implementation</w:t>
      </w:r>
      <w:bookmarkEnd w:id="201"/>
      <w:bookmarkEnd w:id="20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0F63DD22" w14:textId="77777777" w:rsidR="00DD2A1D" w:rsidRPr="003907AC" w:rsidRDefault="00DD2A1D" w:rsidP="007D2ABA">
      <w:pPr>
        <w:pStyle w:val="BodyText"/>
      </w:pPr>
      <w:r w:rsidRPr="003907AC">
        <w:t>The arrangements in this sub-plan apply on a continual basis and do not require activation.</w:t>
      </w:r>
    </w:p>
    <w:p w14:paraId="05271847" w14:textId="77777777" w:rsidR="00DD2A1D" w:rsidRPr="003907AC" w:rsidRDefault="00DD2A1D" w:rsidP="00DD2A1D">
      <w:r w:rsidRPr="003907AC">
        <w:t xml:space="preserve">This sub-plan is intended to support existing operational plans.  </w:t>
      </w:r>
    </w:p>
    <w:p w14:paraId="47DB14BD" w14:textId="77777777" w:rsidR="00DD2A1D" w:rsidRPr="003907AC" w:rsidRDefault="00DD2A1D" w:rsidP="00DD2A1D">
      <w:pPr>
        <w:pStyle w:val="Heading2"/>
      </w:pPr>
      <w:bookmarkStart w:id="298" w:name="_Toc82274470"/>
      <w:bookmarkStart w:id="299" w:name="_Toc82350769"/>
      <w:bookmarkStart w:id="300" w:name="_Toc90319397"/>
      <w:bookmarkStart w:id="301" w:name="_Toc438737749"/>
      <w:bookmarkStart w:id="302" w:name="_Toc1623541164"/>
      <w:bookmarkStart w:id="303" w:name="_Toc267314462"/>
      <w:bookmarkStart w:id="304" w:name="_Toc498166795"/>
      <w:bookmarkStart w:id="305" w:name="_Toc1740141285"/>
      <w:bookmarkStart w:id="306" w:name="_Toc1121570645"/>
      <w:bookmarkStart w:id="307" w:name="_Toc768224961"/>
      <w:bookmarkStart w:id="308" w:name="_Toc918790597"/>
      <w:bookmarkStart w:id="309" w:name="_Toc1118456598"/>
      <w:bookmarkStart w:id="310" w:name="_Toc1531148345"/>
      <w:bookmarkStart w:id="311" w:name="_Toc772503232"/>
      <w:bookmarkStart w:id="312" w:name="_Toc290161111"/>
      <w:bookmarkStart w:id="313" w:name="_Toc2065705509"/>
      <w:bookmarkStart w:id="314" w:name="_Toc387850007"/>
      <w:bookmarkStart w:id="315" w:name="_Toc1895039169"/>
      <w:bookmarkStart w:id="316" w:name="_Toc741903495"/>
      <w:bookmarkStart w:id="317" w:name="_Toc1715226585"/>
      <w:bookmarkStart w:id="318" w:name="_Toc687161195"/>
      <w:bookmarkStart w:id="319" w:name="_Toc628329870"/>
      <w:bookmarkStart w:id="320" w:name="_Toc1192511434"/>
      <w:bookmarkStart w:id="321" w:name="_Toc983442270"/>
      <w:bookmarkStart w:id="322" w:name="_Toc355466927"/>
      <w:bookmarkStart w:id="323" w:name="_Toc1336386922"/>
      <w:bookmarkStart w:id="324" w:name="_Toc670926083"/>
      <w:bookmarkStart w:id="325" w:name="_Toc1830131142"/>
      <w:bookmarkStart w:id="326" w:name="_Toc301430769"/>
      <w:bookmarkStart w:id="327" w:name="_Toc458643475"/>
      <w:bookmarkStart w:id="328" w:name="_Toc1401004553"/>
      <w:bookmarkStart w:id="329" w:name="_Toc1352576474"/>
      <w:bookmarkStart w:id="330" w:name="_Toc1358709998"/>
      <w:bookmarkStart w:id="331" w:name="_Toc727108369"/>
      <w:bookmarkStart w:id="332" w:name="_Toc47448162"/>
      <w:bookmarkStart w:id="333" w:name="_Toc780345489"/>
      <w:bookmarkStart w:id="334" w:name="_Toc556033733"/>
      <w:bookmarkStart w:id="335" w:name="_Toc1129862882"/>
      <w:bookmarkStart w:id="336" w:name="_Toc518627819"/>
      <w:bookmarkStart w:id="337" w:name="_Toc245280589"/>
      <w:bookmarkStart w:id="338" w:name="_Toc943063024"/>
      <w:bookmarkStart w:id="339" w:name="_Toc356662477"/>
      <w:bookmarkStart w:id="340" w:name="_Toc691830192"/>
      <w:bookmarkStart w:id="341" w:name="_Toc1379944712"/>
      <w:bookmarkStart w:id="342" w:name="_Toc1354769821"/>
      <w:bookmarkStart w:id="343" w:name="_Toc1213931351"/>
      <w:bookmarkStart w:id="344" w:name="_Toc610762685"/>
      <w:bookmarkStart w:id="345" w:name="_Toc207322804"/>
      <w:bookmarkStart w:id="346" w:name="_Ref92436062"/>
      <w:bookmarkStart w:id="347" w:name="_Toc94013161"/>
      <w:r>
        <w:t>Authorising environment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AB7724C" w14:textId="77777777" w:rsidR="00DD2A1D" w:rsidRPr="003907AC" w:rsidRDefault="00DD2A1D" w:rsidP="00DD2BEA">
      <w:pPr>
        <w:pStyle w:val="BodyText"/>
      </w:pPr>
      <w:r w:rsidRPr="003907AC">
        <w:t xml:space="preserve">The </w:t>
      </w:r>
      <w:r w:rsidRPr="00D942AC">
        <w:rPr>
          <w:iCs/>
        </w:rPr>
        <w:t>Emergency Management Act 2013</w:t>
      </w:r>
      <w:r w:rsidRPr="003907AC">
        <w:t xml:space="preserve"> is the empowering legislation for managing emergencies in Victoria.  </w:t>
      </w:r>
    </w:p>
    <w:p w14:paraId="2FE8C0C3" w14:textId="07281FFC" w:rsidR="002E10A9" w:rsidRDefault="2A615EC1" w:rsidP="002E10A9">
      <w:pPr>
        <w:pStyle w:val="BodyText"/>
      </w:pPr>
      <w:r>
        <w:rPr>
          <w:rFonts w:eastAsia="Arial"/>
        </w:rPr>
        <w:t>The State Emergency Management Plan (SEMP</w:t>
      </w:r>
      <w:r w:rsidRPr="009E62FA">
        <w:rPr>
          <w:rFonts w:eastAsia="Arial"/>
        </w:rPr>
        <w:t xml:space="preserve">) is </w:t>
      </w:r>
      <w:r>
        <w:rPr>
          <w:rFonts w:eastAsia="Arial"/>
        </w:rPr>
        <w:t>prepared under section 60AD</w:t>
      </w:r>
      <w:r w:rsidR="002E10A9">
        <w:t xml:space="preserve"> of the Act.</w:t>
      </w:r>
      <w:r w:rsidR="00FE754F" w:rsidRPr="009E62FA">
        <w:t xml:space="preserve"> It outlines the </w:t>
      </w:r>
      <w:r w:rsidRPr="009E62FA">
        <w:t>provisions</w:t>
      </w:r>
      <w:r w:rsidRPr="009E62FA">
        <w:rPr>
          <w:rFonts w:eastAsia="Arial"/>
        </w:rPr>
        <w:t xml:space="preserve"> for the mitigation of, response to and recovery from emergencies, and specifies the roles and responsibilities of agencies in relation to emergency</w:t>
      </w:r>
      <w:r w:rsidR="00FE754F" w:rsidRPr="009E62FA">
        <w:rPr>
          <w:rFonts w:eastAsia="Arial"/>
        </w:rPr>
        <w:t xml:space="preserve"> </w:t>
      </w:r>
      <w:r w:rsidRPr="009E62FA">
        <w:rPr>
          <w:rFonts w:eastAsia="Arial"/>
        </w:rPr>
        <w:t>management in Victoria.</w:t>
      </w:r>
      <w:r w:rsidR="002E10A9">
        <w:t xml:space="preserve"> </w:t>
      </w:r>
    </w:p>
    <w:p w14:paraId="24044EC0" w14:textId="295FC869" w:rsidR="00DD2A1D" w:rsidRPr="00FE754F" w:rsidRDefault="2A615EC1" w:rsidP="009E62FA">
      <w:pPr>
        <w:pStyle w:val="BodyText"/>
      </w:pPr>
      <w:r w:rsidRPr="009E62FA">
        <w:rPr>
          <w:rFonts w:eastAsia="Arial"/>
        </w:rPr>
        <w:t>This sub-plan is a subordinate plan of the SEMP and has been approved by the State Crisis and Resilience Council (SCRC).</w:t>
      </w:r>
    </w:p>
    <w:p w14:paraId="544DF2F7" w14:textId="77777777" w:rsidR="00DD2A1D" w:rsidRPr="003907AC" w:rsidRDefault="00DD2A1D" w:rsidP="00DD2A1D">
      <w:pPr>
        <w:pStyle w:val="Heading2"/>
      </w:pPr>
      <w:bookmarkStart w:id="348" w:name="_Toc82274472"/>
      <w:bookmarkStart w:id="349" w:name="_Toc82350771"/>
      <w:bookmarkStart w:id="350" w:name="_Toc90319398"/>
      <w:bookmarkStart w:id="351" w:name="_Ref92436082"/>
      <w:bookmarkStart w:id="352" w:name="_Ref92437693"/>
      <w:bookmarkStart w:id="353" w:name="_Toc94013162"/>
      <w:bookmarkStart w:id="354" w:name="_Toc1947266182"/>
      <w:bookmarkStart w:id="355" w:name="_Toc68559984"/>
      <w:bookmarkStart w:id="356" w:name="_Toc931167944"/>
      <w:bookmarkStart w:id="357" w:name="_Toc502735438"/>
      <w:bookmarkStart w:id="358" w:name="_Toc1858070762"/>
      <w:bookmarkStart w:id="359" w:name="_Toc529651830"/>
      <w:bookmarkStart w:id="360" w:name="_Toc1721688547"/>
      <w:bookmarkStart w:id="361" w:name="_Toc570990359"/>
      <w:bookmarkStart w:id="362" w:name="_Toc234840328"/>
      <w:bookmarkStart w:id="363" w:name="_Toc1513713792"/>
      <w:bookmarkStart w:id="364" w:name="_Toc2019777611"/>
      <w:bookmarkStart w:id="365" w:name="_Toc949987087"/>
      <w:bookmarkStart w:id="366" w:name="_Toc1826792935"/>
      <w:bookmarkStart w:id="367" w:name="_Toc1134083880"/>
      <w:bookmarkStart w:id="368" w:name="_Toc276693768"/>
      <w:bookmarkStart w:id="369" w:name="_Toc1847757030"/>
      <w:bookmarkStart w:id="370" w:name="_Toc1001584414"/>
      <w:bookmarkStart w:id="371" w:name="_Toc360432812"/>
      <w:bookmarkStart w:id="372" w:name="_Toc1540870553"/>
      <w:bookmarkStart w:id="373" w:name="_Toc1755801084"/>
      <w:bookmarkStart w:id="374" w:name="_Toc132774595"/>
      <w:bookmarkStart w:id="375" w:name="_Toc1223995453"/>
      <w:bookmarkStart w:id="376" w:name="_Toc1175457344"/>
      <w:bookmarkStart w:id="377" w:name="_Toc1290160143"/>
      <w:bookmarkStart w:id="378" w:name="_Toc1970789384"/>
      <w:bookmarkStart w:id="379" w:name="_Toc1541929920"/>
      <w:bookmarkStart w:id="380" w:name="_Toc2123088450"/>
      <w:bookmarkStart w:id="381" w:name="_Toc230992669"/>
      <w:bookmarkStart w:id="382" w:name="_Toc1582104163"/>
      <w:bookmarkStart w:id="383" w:name="_Toc260726385"/>
      <w:bookmarkStart w:id="384" w:name="_Toc1124045707"/>
      <w:bookmarkStart w:id="385" w:name="_Toc621067796"/>
      <w:bookmarkStart w:id="386" w:name="_Toc1752717192"/>
      <w:bookmarkStart w:id="387" w:name="_Toc1120692613"/>
      <w:bookmarkStart w:id="388" w:name="_Toc1389431677"/>
      <w:bookmarkStart w:id="389" w:name="_Toc1960532175"/>
      <w:bookmarkStart w:id="390" w:name="_Toc1959937485"/>
      <w:bookmarkStart w:id="391" w:name="_Toc409895508"/>
      <w:bookmarkStart w:id="392" w:name="_Toc1265841286"/>
      <w:bookmarkStart w:id="393" w:name="_Toc1890027512"/>
      <w:bookmarkStart w:id="394" w:name="_Toc2045723566"/>
      <w:bookmarkStart w:id="395" w:name="_Toc750654129"/>
      <w:bookmarkStart w:id="396" w:name="_Toc462807727"/>
      <w:bookmarkStart w:id="397" w:name="_Toc1494024363"/>
      <w:bookmarkStart w:id="398" w:name="_Toc1258339239"/>
      <w:bookmarkStart w:id="399" w:name="_Toc82274471"/>
      <w:bookmarkStart w:id="400" w:name="_Toc82350770"/>
      <w:r>
        <w:t>Review</w:t>
      </w:r>
      <w:bookmarkEnd w:id="348"/>
      <w:bookmarkEnd w:id="349"/>
      <w:bookmarkEnd w:id="350"/>
      <w:bookmarkEnd w:id="351"/>
      <w:bookmarkEnd w:id="352"/>
      <w:bookmarkEnd w:id="353"/>
      <w:r>
        <w:t xml:space="preserve">  </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4D6ED80E" w14:textId="77777777" w:rsidR="00DD2A1D" w:rsidRPr="00DD2BEA" w:rsidRDefault="00DD2A1D" w:rsidP="00DD2BEA">
      <w:pPr>
        <w:pStyle w:val="BodyText"/>
      </w:pPr>
      <w:r w:rsidRPr="00DD2BEA">
        <w:t>This sub-plan was current at the time of publication and remains in effect until modified, superseded or withdrawn.</w:t>
      </w:r>
    </w:p>
    <w:p w14:paraId="30636143" w14:textId="77777777" w:rsidR="00DD2A1D" w:rsidRPr="00DD2BEA" w:rsidRDefault="00DD2A1D" w:rsidP="00DD2BEA">
      <w:pPr>
        <w:pStyle w:val="BodyText"/>
      </w:pPr>
      <w:r w:rsidRPr="00DD2BEA">
        <w:t>This sub-plan will be exercised and evaluated within one year from the date of operation and reviewed and updated every three years.  Where improvements to the emergency management arrangements in this sub-plan are required, the sub-plan will be amended, and a revised version issued.</w:t>
      </w:r>
    </w:p>
    <w:p w14:paraId="6F970873" w14:textId="77777777" w:rsidR="00DD2A1D" w:rsidRPr="003907AC" w:rsidRDefault="00DD2A1D" w:rsidP="00DD2A1D">
      <w:pPr>
        <w:rPr>
          <w:color w:val="005954" w:themeColor="accent1" w:themeShade="80"/>
          <w:sz w:val="30"/>
          <w:szCs w:val="54"/>
        </w:rPr>
      </w:pPr>
      <w:bookmarkStart w:id="401" w:name="_Shared_Responsibility"/>
      <w:bookmarkStart w:id="402" w:name="_Toc82274473"/>
      <w:bookmarkStart w:id="403" w:name="_Toc82350772"/>
      <w:bookmarkEnd w:id="399"/>
      <w:bookmarkEnd w:id="400"/>
      <w:bookmarkEnd w:id="401"/>
      <w:r w:rsidRPr="003907AC">
        <w:br w:type="page"/>
      </w:r>
    </w:p>
    <w:p w14:paraId="102C1E10" w14:textId="77777777" w:rsidR="00DD2A1D" w:rsidRPr="003907AC" w:rsidRDefault="00DD2A1D" w:rsidP="00DD2A1D">
      <w:pPr>
        <w:pStyle w:val="Heading1"/>
      </w:pPr>
      <w:bookmarkStart w:id="404" w:name="_Toc90319399"/>
      <w:bookmarkStart w:id="405" w:name="_Ref92438376"/>
      <w:bookmarkStart w:id="406" w:name="_Toc94013163"/>
      <w:bookmarkStart w:id="407" w:name="_Toc386089246"/>
      <w:bookmarkStart w:id="408" w:name="_Toc1411140606"/>
      <w:bookmarkStart w:id="409" w:name="_Toc486679816"/>
      <w:bookmarkStart w:id="410" w:name="_Toc564657458"/>
      <w:bookmarkStart w:id="411" w:name="_Toc1334358951"/>
      <w:bookmarkStart w:id="412" w:name="_Toc1971907000"/>
      <w:bookmarkStart w:id="413" w:name="_Toc1307856852"/>
      <w:bookmarkStart w:id="414" w:name="_Toc1233325511"/>
      <w:bookmarkStart w:id="415" w:name="_Toc1092756302"/>
      <w:bookmarkStart w:id="416" w:name="_Toc449664221"/>
      <w:bookmarkStart w:id="417" w:name="_Toc142105044"/>
      <w:bookmarkStart w:id="418" w:name="_Toc1571732339"/>
      <w:bookmarkStart w:id="419" w:name="_Toc997742197"/>
      <w:bookmarkStart w:id="420" w:name="_Toc1632646719"/>
      <w:bookmarkStart w:id="421" w:name="_Toc2009490869"/>
      <w:bookmarkStart w:id="422" w:name="_Toc1534645527"/>
      <w:bookmarkStart w:id="423" w:name="_Toc1766567620"/>
      <w:bookmarkStart w:id="424" w:name="_Toc600642939"/>
      <w:bookmarkStart w:id="425" w:name="_Toc1368446114"/>
      <w:bookmarkStart w:id="426" w:name="_Toc594060401"/>
      <w:bookmarkStart w:id="427" w:name="_Toc460007416"/>
      <w:bookmarkStart w:id="428" w:name="_Toc1285992399"/>
      <w:bookmarkStart w:id="429" w:name="_Toc550137264"/>
      <w:bookmarkStart w:id="430" w:name="_Toc1284423510"/>
      <w:bookmarkStart w:id="431" w:name="_Toc1481570082"/>
      <w:bookmarkStart w:id="432" w:name="_Toc1227301268"/>
      <w:bookmarkStart w:id="433" w:name="_Toc1964085445"/>
      <w:bookmarkStart w:id="434" w:name="_Toc1607933155"/>
      <w:bookmarkStart w:id="435" w:name="_Toc1841506612"/>
      <w:bookmarkStart w:id="436" w:name="_Toc187358727"/>
      <w:bookmarkStart w:id="437" w:name="_Toc1743608107"/>
      <w:bookmarkStart w:id="438" w:name="_Toc970022797"/>
      <w:bookmarkStart w:id="439" w:name="_Toc445953178"/>
      <w:bookmarkStart w:id="440" w:name="_Toc484655218"/>
      <w:bookmarkStart w:id="441" w:name="_Toc1236262222"/>
      <w:bookmarkStart w:id="442" w:name="_Toc1476903746"/>
      <w:bookmarkStart w:id="443" w:name="_Toc1093804714"/>
      <w:bookmarkStart w:id="444" w:name="_Toc425166654"/>
      <w:bookmarkStart w:id="445" w:name="_Toc935325396"/>
      <w:bookmarkStart w:id="446" w:name="_Toc1244109606"/>
      <w:bookmarkStart w:id="447" w:name="_Toc512023676"/>
      <w:bookmarkStart w:id="448" w:name="_Toc460214904"/>
      <w:bookmarkStart w:id="449" w:name="_Toc1310541458"/>
      <w:bookmarkStart w:id="450" w:name="_Toc59975842"/>
      <w:bookmarkStart w:id="451" w:name="_Toc1376362277"/>
      <w:r>
        <w:lastRenderedPageBreak/>
        <w:t xml:space="preserve">The Victorian energy </w:t>
      </w:r>
      <w:bookmarkEnd w:id="402"/>
      <w:r>
        <w:t xml:space="preserve">sector: electricity, </w:t>
      </w:r>
      <w:proofErr w:type="gramStart"/>
      <w:r>
        <w:t>gas</w:t>
      </w:r>
      <w:proofErr w:type="gramEnd"/>
      <w:r>
        <w:t xml:space="preserve"> and liquid fuels</w:t>
      </w:r>
      <w:bookmarkEnd w:id="403"/>
      <w:bookmarkEnd w:id="404"/>
      <w:bookmarkEnd w:id="405"/>
      <w:bookmarkEnd w:id="406"/>
      <w:r>
        <w:t xml:space="preserve">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078A1013" w14:textId="77777777" w:rsidR="00DD2A1D" w:rsidRPr="003907AC" w:rsidRDefault="00DD2A1D" w:rsidP="006E18B1">
      <w:pPr>
        <w:pStyle w:val="BodyText"/>
      </w:pPr>
      <w:r w:rsidRPr="003907AC">
        <w:t xml:space="preserve">The Victorian energy sector includes the generation, production, transmission, </w:t>
      </w:r>
      <w:proofErr w:type="gramStart"/>
      <w:r w:rsidRPr="003907AC">
        <w:t>storage</w:t>
      </w:r>
      <w:proofErr w:type="gramEnd"/>
      <w:r w:rsidRPr="003907AC">
        <w:t xml:space="preserve"> and distribution of energy across three sub-sectors: electricity, gas and liquid fuels. In Victoria, energy sector supply chains and infrastructure are privately owned and operated.  </w:t>
      </w:r>
    </w:p>
    <w:p w14:paraId="56976E96" w14:textId="77777777" w:rsidR="00DD2A1D" w:rsidRPr="003907AC" w:rsidRDefault="00DD2A1D" w:rsidP="006E18B1">
      <w:pPr>
        <w:pStyle w:val="BodyText"/>
      </w:pPr>
      <w:r w:rsidRPr="003907AC">
        <w:t xml:space="preserve">The energy sectors provide essential services to the Victorian community such as lighting, </w:t>
      </w:r>
      <w:proofErr w:type="gramStart"/>
      <w:r w:rsidRPr="003907AC">
        <w:t>heating</w:t>
      </w:r>
      <w:proofErr w:type="gramEnd"/>
      <w:r w:rsidRPr="003907AC">
        <w:t xml:space="preserve"> and cooling, process heat for manufacturing and transportation fuel. </w:t>
      </w:r>
    </w:p>
    <w:p w14:paraId="0A7A477D" w14:textId="77777777" w:rsidR="00DD2A1D" w:rsidRPr="003907AC" w:rsidRDefault="00DD2A1D" w:rsidP="006E18B1">
      <w:pPr>
        <w:pStyle w:val="BodyText"/>
      </w:pPr>
      <w:r w:rsidRPr="003907AC">
        <w:t xml:space="preserve">The electricity, gas and liquid fuel sub-sectors are highly interconnected and reliant on the services they each provide. Each sub-sector also has strong interdependencies with other critical infrastructure sectors and supply chains, both domestically and internationally. This is highlighted by the increasingly inter-linked nature of the east coast electricity and gas markets, the reliance of energy assets on reliable water supply and road access, and the dependency on international and interstate supplies of natural gas and liquid fuels.  </w:t>
      </w:r>
    </w:p>
    <w:p w14:paraId="10153578" w14:textId="688BBD45" w:rsidR="00DD2A1D" w:rsidRPr="003907AC" w:rsidRDefault="00DD2A1D" w:rsidP="006E18B1">
      <w:pPr>
        <w:pStyle w:val="BodyText"/>
      </w:pPr>
      <w:r w:rsidRPr="003907AC">
        <w:t xml:space="preserve">All energy sectors are vulnerable to supply chain disruption and infrastructure damage with can give rise to supply disruption. Risks arise in the context of global and domestic supply chains of products, </w:t>
      </w:r>
      <w:proofErr w:type="gramStart"/>
      <w:r w:rsidRPr="003907AC">
        <w:t>parts</w:t>
      </w:r>
      <w:proofErr w:type="gramEnd"/>
      <w:r w:rsidRPr="003907AC">
        <w:t xml:space="preserve"> and people; in interdependent national markets, increasing domestic and international attention on decarbonising the energy economy intra-dependencies across the social, built, economic and </w:t>
      </w:r>
      <w:r w:rsidR="009E62FA">
        <w:t>natural</w:t>
      </w:r>
      <w:r w:rsidR="009E62FA" w:rsidRPr="003907AC">
        <w:t xml:space="preserve"> </w:t>
      </w:r>
      <w:r w:rsidRPr="003907AC">
        <w:t>environments.</w:t>
      </w:r>
    </w:p>
    <w:p w14:paraId="18B0F2C5" w14:textId="77777777" w:rsidR="00DD2A1D" w:rsidRPr="003907AC" w:rsidRDefault="00DD2A1D" w:rsidP="006E18B1">
      <w:pPr>
        <w:pStyle w:val="BodyText"/>
      </w:pPr>
      <w:r w:rsidRPr="003907AC">
        <w:t xml:space="preserve">Energy businesses are a key part of the emergency prevention, planning, response, </w:t>
      </w:r>
      <w:proofErr w:type="gramStart"/>
      <w:r w:rsidRPr="003907AC">
        <w:t>relief</w:t>
      </w:r>
      <w:proofErr w:type="gramEnd"/>
      <w:r w:rsidRPr="003907AC">
        <w:t xml:space="preserve"> and recovery framework, and manage a program of internal activities to ensure continuity of energy supply, and to build their resilience to emergency events.</w:t>
      </w:r>
    </w:p>
    <w:p w14:paraId="575E2F8E" w14:textId="77777777" w:rsidR="00DD2A1D" w:rsidRPr="003907AC" w:rsidRDefault="00DD2A1D" w:rsidP="00DD2A1D">
      <w:pPr>
        <w:pStyle w:val="Heading2"/>
      </w:pPr>
      <w:bookmarkStart w:id="452" w:name="_Toc82274474"/>
      <w:bookmarkStart w:id="453" w:name="_Toc82350773"/>
      <w:bookmarkStart w:id="454" w:name="_Toc90319400"/>
      <w:bookmarkStart w:id="455" w:name="_Toc94013164"/>
      <w:bookmarkStart w:id="456" w:name="_Toc1640854940"/>
      <w:bookmarkStart w:id="457" w:name="_Toc289442596"/>
      <w:bookmarkStart w:id="458" w:name="_Toc2097344519"/>
      <w:bookmarkStart w:id="459" w:name="_Toc297099934"/>
      <w:bookmarkStart w:id="460" w:name="_Toc215046503"/>
      <w:bookmarkStart w:id="461" w:name="_Toc246121313"/>
      <w:bookmarkStart w:id="462" w:name="_Toc67577616"/>
      <w:bookmarkStart w:id="463" w:name="_Toc1270803228"/>
      <w:bookmarkStart w:id="464" w:name="_Toc707137845"/>
      <w:bookmarkStart w:id="465" w:name="_Toc1904115938"/>
      <w:bookmarkStart w:id="466" w:name="_Toc907724198"/>
      <w:bookmarkStart w:id="467" w:name="_Toc1560173640"/>
      <w:bookmarkStart w:id="468" w:name="_Toc1550993052"/>
      <w:bookmarkStart w:id="469" w:name="_Toc2030275305"/>
      <w:bookmarkStart w:id="470" w:name="_Toc1081315021"/>
      <w:bookmarkStart w:id="471" w:name="_Toc1212487036"/>
      <w:bookmarkStart w:id="472" w:name="_Toc1607113951"/>
      <w:bookmarkStart w:id="473" w:name="_Toc105782006"/>
      <w:bookmarkStart w:id="474" w:name="_Toc1901502100"/>
      <w:bookmarkStart w:id="475" w:name="_Toc230245661"/>
      <w:bookmarkStart w:id="476" w:name="_Toc1686243272"/>
      <w:bookmarkStart w:id="477" w:name="_Toc2042178580"/>
      <w:bookmarkStart w:id="478" w:name="_Toc1855940021"/>
      <w:bookmarkStart w:id="479" w:name="_Toc2053641859"/>
      <w:bookmarkStart w:id="480" w:name="_Toc1566762002"/>
      <w:bookmarkStart w:id="481" w:name="_Toc1752369031"/>
      <w:bookmarkStart w:id="482" w:name="_Toc1053687883"/>
      <w:bookmarkStart w:id="483" w:name="_Toc574255539"/>
      <w:bookmarkStart w:id="484" w:name="_Toc2034520115"/>
      <w:bookmarkStart w:id="485" w:name="_Toc481352271"/>
      <w:bookmarkStart w:id="486" w:name="_Toc1145008200"/>
      <w:bookmarkStart w:id="487" w:name="_Toc282785627"/>
      <w:bookmarkStart w:id="488" w:name="_Toc458862942"/>
      <w:bookmarkStart w:id="489" w:name="_Toc307508809"/>
      <w:bookmarkStart w:id="490" w:name="_Toc621622685"/>
      <w:bookmarkStart w:id="491" w:name="_Toc1814457064"/>
      <w:bookmarkStart w:id="492" w:name="_Toc616958761"/>
      <w:bookmarkStart w:id="493" w:name="_Toc284315216"/>
      <w:bookmarkStart w:id="494" w:name="_Toc600401947"/>
      <w:bookmarkStart w:id="495" w:name="_Toc907726520"/>
      <w:bookmarkStart w:id="496" w:name="_Toc900370357"/>
      <w:bookmarkStart w:id="497" w:name="_Toc1624734327"/>
      <w:bookmarkStart w:id="498" w:name="_Toc756040630"/>
      <w:bookmarkStart w:id="499" w:name="_Toc1755969190"/>
      <w:bookmarkStart w:id="500" w:name="_Toc1467388543"/>
      <w:r>
        <w:t>Electricity</w:t>
      </w:r>
      <w:bookmarkEnd w:id="452"/>
      <w:bookmarkEnd w:id="453"/>
      <w:bookmarkEnd w:id="454"/>
      <w:bookmarkEnd w:id="455"/>
      <w:r>
        <w:t xml:space="preserve"> </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53533912" w14:textId="77777777" w:rsidR="00DD2A1D" w:rsidRPr="006E18B1" w:rsidRDefault="00DD2A1D" w:rsidP="006E18B1">
      <w:pPr>
        <w:pStyle w:val="BodyText"/>
      </w:pPr>
      <w:r w:rsidRPr="006E18B1">
        <w:t xml:space="preserve">The Victorian electricity system is part of the National Electricity Market (NEM) which also includes Queensland, New South Wales, Tasmania, South </w:t>
      </w:r>
      <w:proofErr w:type="gramStart"/>
      <w:r w:rsidRPr="006E18B1">
        <w:t>Australia</w:t>
      </w:r>
      <w:proofErr w:type="gramEnd"/>
      <w:r w:rsidRPr="006E18B1">
        <w:t xml:space="preserve"> and the Australian Capital Territory. The NEM is operated by the Australian Energy Market Operator (AEMO). </w:t>
      </w:r>
    </w:p>
    <w:p w14:paraId="3AC14340" w14:textId="77777777" w:rsidR="00DD2A1D" w:rsidRPr="006E18B1" w:rsidRDefault="00DD2A1D" w:rsidP="006E18B1">
      <w:pPr>
        <w:pStyle w:val="BodyText"/>
      </w:pPr>
      <w:r w:rsidRPr="006E18B1">
        <w:t>AEMO is also responsible for system security consistent with its obligations under the National Electricity Law and the National Electricity Rules.</w:t>
      </w:r>
    </w:p>
    <w:p w14:paraId="233DD4AE" w14:textId="77777777" w:rsidR="00DD2A1D" w:rsidRPr="006E18B1" w:rsidRDefault="00DD2A1D" w:rsidP="006E18B1">
      <w:pPr>
        <w:pStyle w:val="BodyText"/>
      </w:pPr>
      <w:r w:rsidRPr="006E18B1">
        <w:t xml:space="preserve">The Victorian electricity system includes: </w:t>
      </w:r>
    </w:p>
    <w:p w14:paraId="1614D64E" w14:textId="77777777" w:rsidR="00DD2A1D" w:rsidRPr="003907AC" w:rsidRDefault="00DD2A1D" w:rsidP="0075092B">
      <w:pPr>
        <w:pStyle w:val="ListParagraph"/>
      </w:pPr>
      <w:r w:rsidRPr="003907AC">
        <w:t xml:space="preserve">generators – coal and gas-fired power plants, and solar, wind and hydro generation </w:t>
      </w:r>
    </w:p>
    <w:p w14:paraId="386E1F91" w14:textId="77777777" w:rsidR="00DD2A1D" w:rsidRPr="003907AC" w:rsidRDefault="00DD2A1D">
      <w:pPr>
        <w:pStyle w:val="ListParagraph"/>
      </w:pPr>
      <w:r w:rsidRPr="003907AC">
        <w:t xml:space="preserve">energy storage – large-scale grid-connected batteries </w:t>
      </w:r>
    </w:p>
    <w:p w14:paraId="73BDBE1C" w14:textId="77777777" w:rsidR="00DD2A1D" w:rsidRPr="003907AC" w:rsidRDefault="00DD2A1D">
      <w:pPr>
        <w:pStyle w:val="ListParagraph"/>
      </w:pPr>
      <w:r w:rsidRPr="003907AC">
        <w:t xml:space="preserve">transformers, switching and failsafe equipment – to control and change voltage, enable line switching and isolate parts of the network </w:t>
      </w:r>
    </w:p>
    <w:p w14:paraId="51334077" w14:textId="77777777" w:rsidR="00DD2A1D" w:rsidRPr="003907AC" w:rsidRDefault="00DD2A1D">
      <w:pPr>
        <w:pStyle w:val="ListParagraph"/>
      </w:pPr>
      <w:r w:rsidRPr="003907AC">
        <w:t xml:space="preserve">transmission lines – high voltage lines connecting the large generators to major demand centres </w:t>
      </w:r>
    </w:p>
    <w:p w14:paraId="363CFEA8" w14:textId="77777777" w:rsidR="00DD2A1D" w:rsidRPr="003907AC" w:rsidRDefault="00DD2A1D">
      <w:pPr>
        <w:pStyle w:val="ListParagraph"/>
      </w:pPr>
      <w:r w:rsidRPr="003907AC">
        <w:t>interconnectors – the transmission systems linking the Victorian network with the other National Electricity Market (NEM) regions (Tas, SA, NSW)</w:t>
      </w:r>
    </w:p>
    <w:p w14:paraId="5D023C4F" w14:textId="77777777" w:rsidR="00DD2A1D" w:rsidRPr="003907AC" w:rsidRDefault="00DD2A1D">
      <w:pPr>
        <w:pStyle w:val="ListParagraph"/>
      </w:pPr>
      <w:r w:rsidRPr="003907AC">
        <w:t xml:space="preserve">distribution networks – low voltage networks that connect supply to customers </w:t>
      </w:r>
    </w:p>
    <w:p w14:paraId="39D09544" w14:textId="77777777" w:rsidR="00DD2A1D" w:rsidRPr="003907AC" w:rsidRDefault="00DD2A1D">
      <w:pPr>
        <w:pStyle w:val="ListParagraph"/>
      </w:pPr>
      <w:r w:rsidRPr="003907AC">
        <w:t xml:space="preserve">distributed energy resources (DER) – behind the meter assets that include solar panels, inverters, small capacity batteries, controllable </w:t>
      </w:r>
      <w:proofErr w:type="gramStart"/>
      <w:r w:rsidRPr="003907AC">
        <w:t>loads</w:t>
      </w:r>
      <w:proofErr w:type="gramEnd"/>
      <w:r w:rsidRPr="003907AC">
        <w:t xml:space="preserve"> and potentially bidirectional vehicle to grid technology. </w:t>
      </w:r>
    </w:p>
    <w:p w14:paraId="11FB2121" w14:textId="77777777" w:rsidR="00DD2A1D" w:rsidRPr="003907AC" w:rsidRDefault="00DD2A1D" w:rsidP="00DD2A1D">
      <w:pPr>
        <w:pStyle w:val="Heading2"/>
      </w:pPr>
      <w:bookmarkStart w:id="501" w:name="_Toc82274475"/>
      <w:bookmarkStart w:id="502" w:name="_Toc82350774"/>
      <w:bookmarkStart w:id="503" w:name="_Toc90319401"/>
      <w:bookmarkStart w:id="504" w:name="_Toc94013165"/>
      <w:bookmarkStart w:id="505" w:name="_Toc1089266219"/>
      <w:bookmarkStart w:id="506" w:name="_Toc380359516"/>
      <w:bookmarkStart w:id="507" w:name="_Toc1931752951"/>
      <w:bookmarkStart w:id="508" w:name="_Toc1744310717"/>
      <w:bookmarkStart w:id="509" w:name="_Toc1198733976"/>
      <w:bookmarkStart w:id="510" w:name="_Toc1185812521"/>
      <w:bookmarkStart w:id="511" w:name="_Toc2000227741"/>
      <w:bookmarkStart w:id="512" w:name="_Toc906526710"/>
      <w:bookmarkStart w:id="513" w:name="_Toc527930970"/>
      <w:bookmarkStart w:id="514" w:name="_Toc295341658"/>
      <w:bookmarkStart w:id="515" w:name="_Toc428542064"/>
      <w:bookmarkStart w:id="516" w:name="_Toc1206826479"/>
      <w:bookmarkStart w:id="517" w:name="_Toc913695411"/>
      <w:bookmarkStart w:id="518" w:name="_Toc1924880785"/>
      <w:bookmarkStart w:id="519" w:name="_Toc411213028"/>
      <w:bookmarkStart w:id="520" w:name="_Toc1288624937"/>
      <w:bookmarkStart w:id="521" w:name="_Toc161749469"/>
      <w:bookmarkStart w:id="522" w:name="_Toc1155654793"/>
      <w:bookmarkStart w:id="523" w:name="_Toc911011173"/>
      <w:bookmarkStart w:id="524" w:name="_Toc1828573085"/>
      <w:bookmarkStart w:id="525" w:name="_Toc1032470220"/>
      <w:bookmarkStart w:id="526" w:name="_Toc91087260"/>
      <w:bookmarkStart w:id="527" w:name="_Toc1532929395"/>
      <w:bookmarkStart w:id="528" w:name="_Toc1983403560"/>
      <w:bookmarkStart w:id="529" w:name="_Toc1179893244"/>
      <w:bookmarkStart w:id="530" w:name="_Toc127937478"/>
      <w:bookmarkStart w:id="531" w:name="_Toc1511008956"/>
      <w:bookmarkStart w:id="532" w:name="_Toc117370721"/>
      <w:bookmarkStart w:id="533" w:name="_Toc1936120246"/>
      <w:bookmarkStart w:id="534" w:name="_Toc106741651"/>
      <w:bookmarkStart w:id="535" w:name="_Toc1905534243"/>
      <w:bookmarkStart w:id="536" w:name="_Toc522287752"/>
      <w:bookmarkStart w:id="537" w:name="_Toc592762988"/>
      <w:bookmarkStart w:id="538" w:name="_Toc1025331678"/>
      <w:bookmarkStart w:id="539" w:name="_Toc385934018"/>
      <w:bookmarkStart w:id="540" w:name="_Toc749766862"/>
      <w:bookmarkStart w:id="541" w:name="_Toc1934893576"/>
      <w:bookmarkStart w:id="542" w:name="_Toc752665465"/>
      <w:bookmarkStart w:id="543" w:name="_Toc1829815596"/>
      <w:bookmarkStart w:id="544" w:name="_Toc2143309931"/>
      <w:bookmarkStart w:id="545" w:name="_Toc819738867"/>
      <w:bookmarkStart w:id="546" w:name="_Toc1805745282"/>
      <w:bookmarkStart w:id="547" w:name="_Toc1605993149"/>
      <w:bookmarkStart w:id="548" w:name="_Toc1769965039"/>
      <w:bookmarkStart w:id="549" w:name="_Toc1074534682"/>
      <w:r>
        <w:t>Gas</w:t>
      </w:r>
      <w:bookmarkEnd w:id="501"/>
      <w:bookmarkEnd w:id="502"/>
      <w:bookmarkEnd w:id="503"/>
      <w:bookmarkEnd w:id="504"/>
      <w:r>
        <w:t xml:space="preserve"> </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A32B724" w14:textId="2B7928CE" w:rsidR="00DD2A1D" w:rsidRPr="003907AC" w:rsidRDefault="679868F5" w:rsidP="00B8400A">
      <w:pPr>
        <w:pStyle w:val="BodyText"/>
      </w:pPr>
      <w:r>
        <w:t>The Victorian gas system, most of which is within the Victorian Declared Wholesale Gas Market (DWGM), forms part of the eastern gas region which is one of t</w:t>
      </w:r>
      <w:r w:rsidR="5B6DE2EF">
        <w:t>wo</w:t>
      </w:r>
      <w:r>
        <w:t xml:space="preserve"> regions in Australia’s domestic gas market. The DWGM enables the dynamic trading of gas injections and </w:t>
      </w:r>
      <w:r>
        <w:lastRenderedPageBreak/>
        <w:t xml:space="preserve">withdrawals from Victoria’s gas transmission system, known as the Declared Transmission System (DTS). AEMO operates both the DWGM and the DTS. </w:t>
      </w:r>
    </w:p>
    <w:p w14:paraId="36A8DD36" w14:textId="77777777" w:rsidR="00DD2A1D" w:rsidRPr="003907AC" w:rsidRDefault="00DD2A1D" w:rsidP="00B8400A">
      <w:pPr>
        <w:pStyle w:val="BodyText"/>
      </w:pPr>
      <w:r>
        <w:t xml:space="preserve">There are also several gas </w:t>
      </w:r>
      <w:bookmarkStart w:id="550" w:name="_Int_M9cTg0qk"/>
      <w:proofErr w:type="gramStart"/>
      <w:r>
        <w:t>transmission</w:t>
      </w:r>
      <w:bookmarkEnd w:id="550"/>
      <w:proofErr w:type="gramEnd"/>
      <w:r>
        <w:t xml:space="preserve"> pipelines that fall outside of the DTS, including the Eastern Gas Pipeline from Longford to Sydney, the SEA Gas pipeline connecting South Australia to Victoria, the Tasmanian Gas Pipeline connecting Victoria and Tasmania and pipelines to some regional Victorian centres. </w:t>
      </w:r>
    </w:p>
    <w:p w14:paraId="073B2122" w14:textId="0D4D61DF" w:rsidR="00DD2A1D" w:rsidRPr="003907AC" w:rsidRDefault="00DD2A1D" w:rsidP="00B8400A">
      <w:pPr>
        <w:pStyle w:val="BodyText"/>
      </w:pPr>
      <w:r w:rsidRPr="003907AC">
        <w:t xml:space="preserve">The broader gas supply system in Victoria consists of three gas basins off the coast (Gippsland, Bass and Otway basins), gas processing plants (Longford, Orbost, Port </w:t>
      </w:r>
      <w:proofErr w:type="gramStart"/>
      <w:r w:rsidRPr="003907AC">
        <w:t>Campbell</w:t>
      </w:r>
      <w:proofErr w:type="gramEnd"/>
      <w:r w:rsidRPr="003907AC">
        <w:t xml:space="preserve"> and Lang Lang), a small liquefied natural gas (LNG) storage facility in Dandenong, the Iona underground natural gas storage facility, and the transmission and distribution </w:t>
      </w:r>
      <w:r w:rsidR="004A0746">
        <w:t>pipeline</w:t>
      </w:r>
      <w:r w:rsidRPr="003907AC">
        <w:t xml:space="preserve"> systems that deliver gas to customers. </w:t>
      </w:r>
    </w:p>
    <w:p w14:paraId="0272D7E4" w14:textId="77777777" w:rsidR="00DD2A1D" w:rsidRPr="003907AC" w:rsidRDefault="00DD2A1D" w:rsidP="00DD2A1D">
      <w:pPr>
        <w:pStyle w:val="Heading2"/>
      </w:pPr>
      <w:bookmarkStart w:id="551" w:name="_Toc82274476"/>
      <w:bookmarkStart w:id="552" w:name="_Toc82350775"/>
      <w:bookmarkStart w:id="553" w:name="_Toc90319402"/>
      <w:bookmarkStart w:id="554" w:name="_Toc2036820725"/>
      <w:bookmarkStart w:id="555" w:name="_Toc2002549560"/>
      <w:bookmarkStart w:id="556" w:name="_Toc1799773123"/>
      <w:bookmarkStart w:id="557" w:name="_Toc1974643687"/>
      <w:bookmarkStart w:id="558" w:name="_Toc198159856"/>
      <w:bookmarkStart w:id="559" w:name="_Toc1800303333"/>
      <w:bookmarkStart w:id="560" w:name="_Toc561050873"/>
      <w:bookmarkStart w:id="561" w:name="_Toc1573233928"/>
      <w:bookmarkStart w:id="562" w:name="_Toc608568466"/>
      <w:bookmarkStart w:id="563" w:name="_Toc1619775121"/>
      <w:bookmarkStart w:id="564" w:name="_Toc1102846128"/>
      <w:bookmarkStart w:id="565" w:name="_Toc501493819"/>
      <w:bookmarkStart w:id="566" w:name="_Toc795893117"/>
      <w:bookmarkStart w:id="567" w:name="_Toc829163662"/>
      <w:bookmarkStart w:id="568" w:name="_Toc913293758"/>
      <w:bookmarkStart w:id="569" w:name="_Toc773391290"/>
      <w:bookmarkStart w:id="570" w:name="_Toc1741918504"/>
      <w:bookmarkStart w:id="571" w:name="_Toc811582254"/>
      <w:bookmarkStart w:id="572" w:name="_Toc1539702276"/>
      <w:bookmarkStart w:id="573" w:name="_Toc884474628"/>
      <w:bookmarkStart w:id="574" w:name="_Toc2012366888"/>
      <w:bookmarkStart w:id="575" w:name="_Toc1162262013"/>
      <w:bookmarkStart w:id="576" w:name="_Toc1302866953"/>
      <w:bookmarkStart w:id="577" w:name="_Toc432203699"/>
      <w:bookmarkStart w:id="578" w:name="_Toc1646112901"/>
      <w:bookmarkStart w:id="579" w:name="_Toc1768243485"/>
      <w:bookmarkStart w:id="580" w:name="_Toc1703201962"/>
      <w:bookmarkStart w:id="581" w:name="_Toc2100655265"/>
      <w:bookmarkStart w:id="582" w:name="_Toc1583808867"/>
      <w:bookmarkStart w:id="583" w:name="_Toc1465258472"/>
      <w:bookmarkStart w:id="584" w:name="_Toc1235992262"/>
      <w:bookmarkStart w:id="585" w:name="_Toc1715478427"/>
      <w:bookmarkStart w:id="586" w:name="_Toc1931742007"/>
      <w:bookmarkStart w:id="587" w:name="_Toc380044957"/>
      <w:bookmarkStart w:id="588" w:name="_Toc1677634359"/>
      <w:bookmarkStart w:id="589" w:name="_Toc1425791625"/>
      <w:bookmarkStart w:id="590" w:name="_Toc502457383"/>
      <w:bookmarkStart w:id="591" w:name="_Toc1085845921"/>
      <w:bookmarkStart w:id="592" w:name="_Toc1174997191"/>
      <w:bookmarkStart w:id="593" w:name="_Toc375055576"/>
      <w:bookmarkStart w:id="594" w:name="_Toc1268703549"/>
      <w:bookmarkStart w:id="595" w:name="_Toc295272656"/>
      <w:bookmarkStart w:id="596" w:name="_Toc330440748"/>
      <w:bookmarkStart w:id="597" w:name="_Toc1238350667"/>
      <w:bookmarkStart w:id="598" w:name="_Toc1888081800"/>
      <w:bookmarkStart w:id="599" w:name="_Toc94013166"/>
      <w:r>
        <w:t>Liquid fuels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0AD104B2" w14:textId="77777777" w:rsidR="00DD2A1D" w:rsidRPr="003907AC" w:rsidRDefault="00DD2A1D" w:rsidP="00B8400A">
      <w:pPr>
        <w:pStyle w:val="BodyText"/>
      </w:pPr>
      <w:r w:rsidRPr="003907AC">
        <w:t xml:space="preserve">The liquid fuel sub-sector operates within a global supply chain through which Australia imports more than 90 per cent of its liquid fuel needs (both crude oil and refined fuel) from more than 60 countries. </w:t>
      </w:r>
    </w:p>
    <w:p w14:paraId="0FADE35B" w14:textId="77777777" w:rsidR="00DD2A1D" w:rsidRPr="003907AC" w:rsidRDefault="00DD2A1D" w:rsidP="00B8400A">
      <w:pPr>
        <w:pStyle w:val="BodyText"/>
        <w:rPr>
          <w:szCs w:val="22"/>
        </w:rPr>
      </w:pPr>
      <w:r w:rsidRPr="003907AC">
        <w:rPr>
          <w:szCs w:val="22"/>
        </w:rPr>
        <w:t xml:space="preserve">The Victorian fuel supply chain incorporates: </w:t>
      </w:r>
    </w:p>
    <w:p w14:paraId="1CF7D77E" w14:textId="77777777" w:rsidR="00DD2A1D" w:rsidRPr="003907AC" w:rsidRDefault="00DD2A1D" w:rsidP="0075092B">
      <w:pPr>
        <w:pStyle w:val="ListParagraph"/>
      </w:pPr>
      <w:r w:rsidRPr="003907AC">
        <w:t xml:space="preserve">offshore </w:t>
      </w:r>
      <w:r w:rsidRPr="001B3408">
        <w:t>production</w:t>
      </w:r>
      <w:r w:rsidRPr="003907AC">
        <w:t xml:space="preserve"> of crude oil and condensate </w:t>
      </w:r>
    </w:p>
    <w:p w14:paraId="6B12C544" w14:textId="77777777" w:rsidR="00DD2A1D" w:rsidRPr="003907AC" w:rsidRDefault="00DD2A1D">
      <w:pPr>
        <w:pStyle w:val="ListParagraph"/>
      </w:pPr>
      <w:r w:rsidRPr="003907AC">
        <w:t xml:space="preserve">crude and condensate refining capacity </w:t>
      </w:r>
    </w:p>
    <w:p w14:paraId="4A26A4A5" w14:textId="77777777" w:rsidR="00DD2A1D" w:rsidRPr="003907AC" w:rsidRDefault="00DD2A1D">
      <w:pPr>
        <w:pStyle w:val="ListParagraph"/>
      </w:pPr>
      <w:r w:rsidRPr="367F2C92">
        <w:t xml:space="preserve">import and export infrastructure for crude and refined product (e.g., berthing facilities and pipelines) </w:t>
      </w:r>
    </w:p>
    <w:p w14:paraId="47873591" w14:textId="77777777" w:rsidR="00DD2A1D" w:rsidRPr="003907AC" w:rsidRDefault="00DD2A1D">
      <w:pPr>
        <w:pStyle w:val="ListParagraph"/>
      </w:pPr>
      <w:r w:rsidRPr="003907AC">
        <w:t xml:space="preserve">transmission pipeline infrastructure including pipelines to Melbourne Airport </w:t>
      </w:r>
    </w:p>
    <w:p w14:paraId="291EDD89" w14:textId="77777777" w:rsidR="00DD2A1D" w:rsidRPr="003907AC" w:rsidRDefault="00DD2A1D">
      <w:pPr>
        <w:pStyle w:val="ListParagraph"/>
      </w:pPr>
      <w:r w:rsidRPr="367F2C92">
        <w:t xml:space="preserve">storage and distribution infrastructure at the refinery in Geelong, </w:t>
      </w:r>
      <w:proofErr w:type="gramStart"/>
      <w:r w:rsidRPr="367F2C92">
        <w:t>terminals</w:t>
      </w:r>
      <w:proofErr w:type="gramEnd"/>
      <w:r w:rsidRPr="367F2C92">
        <w:t xml:space="preserve"> and regional fuel storage depots </w:t>
      </w:r>
    </w:p>
    <w:p w14:paraId="20258CCA" w14:textId="77777777" w:rsidR="00DD2A1D" w:rsidRPr="003907AC" w:rsidRDefault="00DD2A1D">
      <w:pPr>
        <w:pStyle w:val="ListParagraph"/>
      </w:pPr>
      <w:r w:rsidRPr="003907AC">
        <w:t xml:space="preserve">road tankers </w:t>
      </w:r>
    </w:p>
    <w:p w14:paraId="5B96E7D0" w14:textId="77777777" w:rsidR="00DD2A1D" w:rsidRPr="003907AC" w:rsidRDefault="00DD2A1D">
      <w:pPr>
        <w:pStyle w:val="ListParagraph"/>
      </w:pPr>
      <w:r w:rsidRPr="367F2C92">
        <w:t>a retail service station network.</w:t>
      </w:r>
    </w:p>
    <w:p w14:paraId="47480CE0" w14:textId="77777777" w:rsidR="00DD2A1D" w:rsidRPr="003907AC" w:rsidRDefault="00DD2A1D" w:rsidP="00DD2A1D">
      <w:pPr>
        <w:rPr>
          <w:color w:val="006794"/>
          <w:sz w:val="24"/>
          <w:szCs w:val="30"/>
        </w:rPr>
      </w:pPr>
      <w:bookmarkStart w:id="600" w:name="_Toc82350777"/>
      <w:r w:rsidRPr="003907AC">
        <w:br w:type="page"/>
      </w:r>
    </w:p>
    <w:p w14:paraId="3222BFF2" w14:textId="77777777" w:rsidR="00DD2A1D" w:rsidRPr="003907AC" w:rsidRDefault="00DD2A1D" w:rsidP="00DD2A1D">
      <w:pPr>
        <w:pStyle w:val="Heading2"/>
      </w:pPr>
      <w:bookmarkStart w:id="601" w:name="_Toc90319403"/>
      <w:bookmarkStart w:id="602" w:name="_Ref92437059"/>
      <w:bookmarkStart w:id="603" w:name="_Toc94013167"/>
      <w:bookmarkStart w:id="604" w:name="_Toc1965727177"/>
      <w:bookmarkStart w:id="605" w:name="_Toc1009285411"/>
      <w:bookmarkStart w:id="606" w:name="_Toc1808872639"/>
      <w:bookmarkStart w:id="607" w:name="_Toc1388901795"/>
      <w:bookmarkStart w:id="608" w:name="_Toc260368289"/>
      <w:bookmarkStart w:id="609" w:name="_Toc1007706621"/>
      <w:bookmarkStart w:id="610" w:name="_Toc739695176"/>
      <w:bookmarkStart w:id="611" w:name="_Toc1978681108"/>
      <w:bookmarkStart w:id="612" w:name="_Toc656434097"/>
      <w:bookmarkStart w:id="613" w:name="_Toc552444993"/>
      <w:bookmarkStart w:id="614" w:name="_Toc1193277009"/>
      <w:bookmarkStart w:id="615" w:name="_Toc890923129"/>
      <w:bookmarkStart w:id="616" w:name="_Toc1470018381"/>
      <w:bookmarkStart w:id="617" w:name="_Toc1457023069"/>
      <w:bookmarkStart w:id="618" w:name="_Toc947754468"/>
      <w:bookmarkStart w:id="619" w:name="_Toc1281607386"/>
      <w:bookmarkStart w:id="620" w:name="_Toc1347226201"/>
      <w:bookmarkStart w:id="621" w:name="_Toc1753065947"/>
      <w:bookmarkStart w:id="622" w:name="_Toc952164957"/>
      <w:bookmarkStart w:id="623" w:name="_Toc50796308"/>
      <w:bookmarkStart w:id="624" w:name="_Toc1450400884"/>
      <w:bookmarkStart w:id="625" w:name="_Toc328682882"/>
      <w:bookmarkStart w:id="626" w:name="_Toc794235282"/>
      <w:bookmarkStart w:id="627" w:name="_Toc803908361"/>
      <w:bookmarkStart w:id="628" w:name="_Toc2007639168"/>
      <w:bookmarkStart w:id="629" w:name="_Toc1145048561"/>
      <w:bookmarkStart w:id="630" w:name="_Toc1804672502"/>
      <w:bookmarkStart w:id="631" w:name="_Toc1039148185"/>
      <w:bookmarkStart w:id="632" w:name="_Toc524614852"/>
      <w:bookmarkStart w:id="633" w:name="_Toc1888618182"/>
      <w:bookmarkStart w:id="634" w:name="_Toc1414009476"/>
      <w:bookmarkStart w:id="635" w:name="_Toc1294244815"/>
      <w:bookmarkStart w:id="636" w:name="_Toc1616595379"/>
      <w:bookmarkStart w:id="637" w:name="_Toc652228531"/>
      <w:bookmarkStart w:id="638" w:name="_Toc1486754483"/>
      <w:bookmarkStart w:id="639" w:name="_Toc1045681756"/>
      <w:bookmarkStart w:id="640" w:name="_Toc793054154"/>
      <w:bookmarkStart w:id="641" w:name="_Toc760440103"/>
      <w:bookmarkStart w:id="642" w:name="_Toc467139349"/>
      <w:bookmarkStart w:id="643" w:name="_Toc976376833"/>
      <w:bookmarkStart w:id="644" w:name="_Toc1232445781"/>
      <w:bookmarkStart w:id="645" w:name="_Toc231732364"/>
      <w:bookmarkStart w:id="646" w:name="_Toc1761268593"/>
      <w:bookmarkStart w:id="647" w:name="_Toc1117799774"/>
      <w:bookmarkStart w:id="648" w:name="_Toc846328302"/>
      <w:r>
        <w:lastRenderedPageBreak/>
        <w:t>Key risks</w:t>
      </w:r>
      <w:bookmarkEnd w:id="600"/>
      <w:r>
        <w:t xml:space="preserve"> and vulnerabilities</w:t>
      </w:r>
      <w:bookmarkEnd w:id="601"/>
      <w:bookmarkEnd w:id="602"/>
      <w:bookmarkEnd w:id="603"/>
      <w:r>
        <w:t xml:space="preserve">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7A2A8732" w14:textId="56C204C3" w:rsidR="00DD2A1D" w:rsidRDefault="00DD2A1D" w:rsidP="00DD2A1D">
      <w:pPr>
        <w:pStyle w:val="Caption"/>
      </w:pPr>
      <w:r w:rsidRPr="003907AC">
        <w:t xml:space="preserve">Table </w:t>
      </w:r>
      <w:r w:rsidRPr="003907AC">
        <w:fldChar w:fldCharType="begin"/>
      </w:r>
      <w:r w:rsidRPr="003907AC">
        <w:instrText>SEQ Table \* ARABIC</w:instrText>
      </w:r>
      <w:r w:rsidRPr="003907AC">
        <w:fldChar w:fldCharType="separate"/>
      </w:r>
      <w:r w:rsidR="00A45804">
        <w:rPr>
          <w:noProof/>
        </w:rPr>
        <w:t>2</w:t>
      </w:r>
      <w:r w:rsidRPr="003907AC">
        <w:fldChar w:fldCharType="end"/>
      </w:r>
      <w:r w:rsidRPr="003907AC">
        <w:t xml:space="preserve">: </w:t>
      </w:r>
      <w:r w:rsidR="004209CA">
        <w:t>K</w:t>
      </w:r>
      <w:r w:rsidR="004209CA" w:rsidRPr="003907AC">
        <w:t xml:space="preserve">ey </w:t>
      </w:r>
      <w:r w:rsidRPr="003907AC">
        <w:t>risks and vulnerabilities</w:t>
      </w:r>
      <w:r>
        <w:rPr>
          <w:rStyle w:val="FootnoteReference"/>
        </w:rPr>
        <w:footnoteReference w:id="2"/>
      </w:r>
    </w:p>
    <w:tbl>
      <w:tblPr>
        <w:tblStyle w:val="ListTable4-Accent12"/>
        <w:tblW w:w="8500" w:type="dxa"/>
        <w:tblCellSpacing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5396"/>
      </w:tblGrid>
      <w:tr w:rsidR="000F70D4" w:rsidRPr="000F70D4" w14:paraId="69E7F395" w14:textId="77777777" w:rsidTr="7EA0B018">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0000"/>
              <w:left w:val="single" w:sz="12" w:space="0" w:color="FF0000"/>
              <w:bottom w:val="single" w:sz="12" w:space="0" w:color="FF0000"/>
              <w:right w:val="single" w:sz="12" w:space="0" w:color="FF0000"/>
            </w:tcBorders>
            <w:shd w:val="clear" w:color="auto" w:fill="FF0000"/>
            <w:vAlign w:val="center"/>
          </w:tcPr>
          <w:p w14:paraId="618FE6FA"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EXTREME RISK</w:t>
            </w:r>
          </w:p>
        </w:tc>
        <w:tc>
          <w:tcPr>
            <w:tcW w:w="5312" w:type="dxa"/>
            <w:tcBorders>
              <w:top w:val="single" w:sz="12" w:space="0" w:color="FF0000"/>
              <w:left w:val="single" w:sz="12" w:space="0" w:color="FF0000"/>
              <w:bottom w:val="single" w:sz="12" w:space="0" w:color="FF0000"/>
              <w:right w:val="single" w:sz="12" w:space="0" w:color="FF0000"/>
            </w:tcBorders>
            <w:shd w:val="clear" w:color="auto" w:fill="FF0000"/>
            <w:vAlign w:val="center"/>
          </w:tcPr>
          <w:p w14:paraId="689CFECD" w14:textId="77777777" w:rsidR="000F70D4" w:rsidRPr="000F70D4" w:rsidRDefault="000F70D4" w:rsidP="000F70D4">
            <w:pPr>
              <w:spacing w:before="20" w:after="20"/>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IMPACT</w:t>
            </w:r>
          </w:p>
        </w:tc>
      </w:tr>
      <w:tr w:rsidR="000F70D4" w:rsidRPr="000F70D4" w14:paraId="4324FEF9"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0000"/>
              <w:left w:val="single" w:sz="12" w:space="0" w:color="FF0000"/>
              <w:bottom w:val="single" w:sz="12" w:space="0" w:color="FF0000"/>
              <w:right w:val="single" w:sz="12" w:space="0" w:color="FF0000"/>
            </w:tcBorders>
            <w:shd w:val="clear" w:color="auto" w:fill="FFAFAF"/>
          </w:tcPr>
          <w:p w14:paraId="027897AA"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Extreme temperatures (</w:t>
            </w:r>
            <w:bookmarkStart w:id="649" w:name="_Int_vISsLkO3"/>
            <w:proofErr w:type="gramStart"/>
            <w:r w:rsidRPr="000F70D4">
              <w:rPr>
                <w:rFonts w:ascii="Arial" w:hAnsi="Arial"/>
                <w:sz w:val="16"/>
                <w:szCs w:val="16"/>
              </w:rPr>
              <w:t>3-4 day</w:t>
            </w:r>
            <w:bookmarkEnd w:id="649"/>
            <w:proofErr w:type="gramEnd"/>
            <w:r w:rsidRPr="000F70D4">
              <w:rPr>
                <w:rFonts w:ascii="Arial" w:hAnsi="Arial"/>
                <w:sz w:val="16"/>
                <w:szCs w:val="16"/>
              </w:rPr>
              <w:t xml:space="preserve"> event)</w:t>
            </w:r>
          </w:p>
        </w:tc>
        <w:tc>
          <w:tcPr>
            <w:tcW w:w="5312" w:type="dxa"/>
            <w:tcBorders>
              <w:top w:val="single" w:sz="12" w:space="0" w:color="FF0000"/>
              <w:left w:val="single" w:sz="12" w:space="0" w:color="FF0000"/>
              <w:bottom w:val="single" w:sz="12" w:space="0" w:color="FF0000"/>
              <w:right w:val="single" w:sz="12" w:space="0" w:color="FF0000"/>
            </w:tcBorders>
            <w:shd w:val="clear" w:color="auto" w:fill="FFFFFF" w:themeFill="background1"/>
          </w:tcPr>
          <w:p w14:paraId="675F03E3"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0F70D4">
              <w:rPr>
                <w:rFonts w:ascii="Arial" w:hAnsi="Arial"/>
                <w:sz w:val="16"/>
                <w:szCs w:val="16"/>
              </w:rPr>
              <w:t xml:space="preserve">Extended loss of energy production or transmission services due to extreme temperatures resulting in less generation and stress on the transmission/distribution network, resulting in supply being insufficient for demand causing a major disruption to industry, business, essential </w:t>
            </w:r>
            <w:proofErr w:type="gramStart"/>
            <w:r w:rsidRPr="000F70D4">
              <w:rPr>
                <w:rFonts w:ascii="Arial" w:hAnsi="Arial"/>
                <w:sz w:val="16"/>
                <w:szCs w:val="16"/>
              </w:rPr>
              <w:t>services</w:t>
            </w:r>
            <w:proofErr w:type="gramEnd"/>
            <w:r w:rsidRPr="000F70D4">
              <w:rPr>
                <w:rFonts w:ascii="Arial" w:hAnsi="Arial"/>
                <w:sz w:val="16"/>
                <w:szCs w:val="16"/>
              </w:rPr>
              <w:t xml:space="preserve"> and the community. </w:t>
            </w:r>
          </w:p>
        </w:tc>
      </w:tr>
      <w:tr w:rsidR="000F70D4" w:rsidRPr="000F70D4" w14:paraId="3C868A2C"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0000"/>
              <w:left w:val="single" w:sz="12" w:space="0" w:color="FF0000"/>
              <w:bottom w:val="single" w:sz="12" w:space="0" w:color="FF0000"/>
              <w:right w:val="single" w:sz="12" w:space="0" w:color="FF0000"/>
            </w:tcBorders>
            <w:shd w:val="clear" w:color="auto" w:fill="FFAFAF"/>
          </w:tcPr>
          <w:p w14:paraId="7D566953"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Fire affecting critical infrastructure</w:t>
            </w:r>
          </w:p>
          <w:p w14:paraId="7713914E"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w:t>
            </w:r>
            <w:bookmarkStart w:id="650" w:name="_Int_WMu3vh5W"/>
            <w:proofErr w:type="gramStart"/>
            <w:r w:rsidRPr="000F70D4">
              <w:rPr>
                <w:rFonts w:ascii="Arial" w:hAnsi="Arial"/>
                <w:sz w:val="16"/>
                <w:szCs w:val="16"/>
              </w:rPr>
              <w:t>including</w:t>
            </w:r>
            <w:bookmarkEnd w:id="650"/>
            <w:proofErr w:type="gramEnd"/>
            <w:r w:rsidRPr="000F70D4">
              <w:rPr>
                <w:rFonts w:ascii="Arial" w:hAnsi="Arial"/>
                <w:sz w:val="16"/>
                <w:szCs w:val="16"/>
              </w:rPr>
              <w:t xml:space="preserve"> bushfire, grassfire or structural fire)</w:t>
            </w:r>
          </w:p>
        </w:tc>
        <w:tc>
          <w:tcPr>
            <w:tcW w:w="5312" w:type="dxa"/>
            <w:tcBorders>
              <w:top w:val="single" w:sz="12" w:space="0" w:color="FF0000"/>
              <w:left w:val="single" w:sz="12" w:space="0" w:color="FF0000"/>
              <w:bottom w:val="single" w:sz="12" w:space="0" w:color="FF0000"/>
              <w:right w:val="single" w:sz="12" w:space="0" w:color="FF0000"/>
            </w:tcBorders>
          </w:tcPr>
          <w:p w14:paraId="44BA5CCA"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Extended loss of energy production or key transmission infrastructure, loss of fuel supply or loss of access to/control of assets due to fire. Possible cascading effect. Smoke itself is a hazard – it can cause electrical lines to spark/and or trip. </w:t>
            </w:r>
          </w:p>
        </w:tc>
      </w:tr>
      <w:tr w:rsidR="000F70D4" w:rsidRPr="000F70D4" w14:paraId="5F6118E0"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9900"/>
          </w:tcPr>
          <w:p w14:paraId="106F9D31" w14:textId="77777777" w:rsidR="000F70D4" w:rsidRPr="000F70D4" w:rsidRDefault="000F70D4" w:rsidP="000F70D4">
            <w:pPr>
              <w:spacing w:before="20" w:after="20"/>
              <w:rPr>
                <w:rFonts w:ascii="Arial" w:hAnsi="Arial"/>
                <w:color w:val="FFFFFF"/>
                <w:sz w:val="16"/>
                <w:szCs w:val="16"/>
              </w:rPr>
            </w:pPr>
            <w:r w:rsidRPr="000F70D4">
              <w:rPr>
                <w:rFonts w:ascii="Arial" w:hAnsi="Arial"/>
                <w:color w:val="FFFFFF"/>
                <w:sz w:val="16"/>
                <w:szCs w:val="16"/>
              </w:rPr>
              <w:t>HIGH RISK</w:t>
            </w:r>
          </w:p>
        </w:tc>
        <w:tc>
          <w:tcPr>
            <w:tcW w:w="5312" w:type="dxa"/>
            <w:tcBorders>
              <w:top w:val="single" w:sz="12" w:space="0" w:color="FF9900"/>
              <w:left w:val="single" w:sz="12" w:space="0" w:color="FF9900"/>
              <w:bottom w:val="single" w:sz="12" w:space="0" w:color="FF9900"/>
              <w:right w:val="single" w:sz="12" w:space="0" w:color="FF9900"/>
            </w:tcBorders>
            <w:shd w:val="clear" w:color="auto" w:fill="FF9900"/>
          </w:tcPr>
          <w:p w14:paraId="24EE2729"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b/>
                <w:bCs/>
                <w:color w:val="FFFFFF"/>
                <w:sz w:val="16"/>
                <w:szCs w:val="16"/>
              </w:rPr>
            </w:pPr>
            <w:r w:rsidRPr="000F70D4">
              <w:rPr>
                <w:rFonts w:ascii="Arial" w:hAnsi="Arial"/>
                <w:b/>
                <w:bCs/>
                <w:color w:val="FFFFFF"/>
                <w:sz w:val="16"/>
                <w:szCs w:val="16"/>
              </w:rPr>
              <w:t>IMPACT</w:t>
            </w:r>
          </w:p>
        </w:tc>
      </w:tr>
      <w:tr w:rsidR="000F70D4" w:rsidRPr="000F70D4" w14:paraId="6B8F6EA6"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2B042012"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 xml:space="preserve">Cyber-attack </w:t>
            </w:r>
          </w:p>
        </w:tc>
        <w:tc>
          <w:tcPr>
            <w:tcW w:w="5312" w:type="dxa"/>
            <w:tcBorders>
              <w:top w:val="single" w:sz="12" w:space="0" w:color="FF9900"/>
              <w:left w:val="single" w:sz="12" w:space="0" w:color="FF9900"/>
              <w:bottom w:val="single" w:sz="12" w:space="0" w:color="FF9900"/>
              <w:right w:val="single" w:sz="12" w:space="0" w:color="FF9900"/>
            </w:tcBorders>
          </w:tcPr>
          <w:p w14:paraId="584F0C15"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Control system, safety and emergency management systems impacted; supply disrupted. </w:t>
            </w:r>
          </w:p>
        </w:tc>
      </w:tr>
      <w:tr w:rsidR="000F70D4" w:rsidRPr="000F70D4" w14:paraId="3FADB8AB"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7894BB28"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Pandemic</w:t>
            </w:r>
          </w:p>
        </w:tc>
        <w:tc>
          <w:tcPr>
            <w:tcW w:w="5312" w:type="dxa"/>
            <w:tcBorders>
              <w:top w:val="single" w:sz="12" w:space="0" w:color="FF9900"/>
              <w:left w:val="single" w:sz="12" w:space="0" w:color="FF9900"/>
              <w:bottom w:val="single" w:sz="12" w:space="0" w:color="FF9900"/>
              <w:right w:val="single" w:sz="12" w:space="0" w:color="FF9900"/>
            </w:tcBorders>
            <w:shd w:val="clear" w:color="auto" w:fill="FFFFFF" w:themeFill="background1"/>
          </w:tcPr>
          <w:p w14:paraId="7CDCDA40"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0F70D4">
              <w:rPr>
                <w:rFonts w:ascii="Arial" w:hAnsi="Arial"/>
                <w:sz w:val="16"/>
                <w:szCs w:val="16"/>
              </w:rPr>
              <w:t>Extended loss of energy production or transmission due to shortage of skilled employees to operate and/or maintain facilities as well as reduced demand due to closed businesses. Potential to limit the ability to sufficiently staff energy assets or respond to an emergency.</w:t>
            </w:r>
          </w:p>
        </w:tc>
      </w:tr>
      <w:tr w:rsidR="000F70D4" w:rsidRPr="000F70D4" w14:paraId="60110756"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069255DC"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Workforce issues (including industrial issues, ageing workforce and capability)</w:t>
            </w:r>
          </w:p>
        </w:tc>
        <w:tc>
          <w:tcPr>
            <w:tcW w:w="5312" w:type="dxa"/>
            <w:tcBorders>
              <w:top w:val="single" w:sz="12" w:space="0" w:color="FF9900"/>
              <w:left w:val="single" w:sz="12" w:space="0" w:color="FF9900"/>
              <w:bottom w:val="single" w:sz="12" w:space="0" w:color="FF9900"/>
              <w:right w:val="single" w:sz="12" w:space="0" w:color="FF9900"/>
            </w:tcBorders>
          </w:tcPr>
          <w:p w14:paraId="36F49551"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Extended loss of energy production or transmission due to shortage of skilled employees to operate and/or maintain facilities. Potential to limit the ability to respond to an emergency.  </w:t>
            </w:r>
          </w:p>
        </w:tc>
      </w:tr>
      <w:tr w:rsidR="000F70D4" w:rsidRPr="000F70D4" w14:paraId="46FC14E2"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08534FF4"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Loss of gas supply</w:t>
            </w:r>
          </w:p>
        </w:tc>
        <w:tc>
          <w:tcPr>
            <w:tcW w:w="5312" w:type="dxa"/>
            <w:tcBorders>
              <w:top w:val="single" w:sz="12" w:space="0" w:color="FF9900"/>
              <w:left w:val="single" w:sz="12" w:space="0" w:color="FF9900"/>
              <w:bottom w:val="single" w:sz="12" w:space="0" w:color="FF9900"/>
              <w:right w:val="single" w:sz="12" w:space="0" w:color="FF9900"/>
            </w:tcBorders>
            <w:shd w:val="clear" w:color="auto" w:fill="FFFFFF" w:themeFill="background1"/>
          </w:tcPr>
          <w:p w14:paraId="7F2EF1B8"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0F70D4">
              <w:rPr>
                <w:rFonts w:ascii="Arial" w:hAnsi="Arial"/>
                <w:sz w:val="16"/>
                <w:szCs w:val="16"/>
              </w:rPr>
              <w:t xml:space="preserve">Restricted or total loss of access to gas supply. Consequences would be for both summer and winter due to increasing reliance on gas-fired electricity generation. Would impact on ability to refine fuels. </w:t>
            </w:r>
          </w:p>
        </w:tc>
      </w:tr>
      <w:tr w:rsidR="000F70D4" w:rsidRPr="000F70D4" w14:paraId="1D296168"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4FB9F173"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Major plant failure – operations (including ageing infrastructure, maintenance, defects, operating outside of design)</w:t>
            </w:r>
          </w:p>
        </w:tc>
        <w:tc>
          <w:tcPr>
            <w:tcW w:w="5312" w:type="dxa"/>
            <w:tcBorders>
              <w:top w:val="single" w:sz="12" w:space="0" w:color="FF9900"/>
              <w:left w:val="single" w:sz="12" w:space="0" w:color="FF9900"/>
              <w:bottom w:val="single" w:sz="12" w:space="0" w:color="FF9900"/>
              <w:right w:val="single" w:sz="12" w:space="0" w:color="FF9900"/>
            </w:tcBorders>
          </w:tcPr>
          <w:p w14:paraId="2B70B054" w14:textId="6E235B9F" w:rsidR="000F70D4" w:rsidRPr="000F70D4" w:rsidRDefault="63413CF9"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7EA0B018">
              <w:rPr>
                <w:rFonts w:ascii="Arial" w:hAnsi="Arial"/>
                <w:sz w:val="16"/>
                <w:szCs w:val="16"/>
              </w:rPr>
              <w:t>Extended loss of energy production or transmission due to major damage to a power plant</w:t>
            </w:r>
            <w:r w:rsidR="59EB949A" w:rsidRPr="7EA0B018">
              <w:rPr>
                <w:rFonts w:ascii="Arial" w:hAnsi="Arial"/>
                <w:sz w:val="16"/>
                <w:szCs w:val="16"/>
              </w:rPr>
              <w:t>, gas plant</w:t>
            </w:r>
            <w:r w:rsidRPr="7EA0B018">
              <w:rPr>
                <w:rFonts w:ascii="Arial" w:hAnsi="Arial"/>
                <w:sz w:val="16"/>
                <w:szCs w:val="16"/>
              </w:rPr>
              <w:t xml:space="preserve"> or transmission system resulting in supply being insufficient for demand causing a major disruption to industry, business, essential </w:t>
            </w:r>
            <w:proofErr w:type="gramStart"/>
            <w:r w:rsidRPr="7EA0B018">
              <w:rPr>
                <w:rFonts w:ascii="Arial" w:hAnsi="Arial"/>
                <w:sz w:val="16"/>
                <w:szCs w:val="16"/>
              </w:rPr>
              <w:t>services</w:t>
            </w:r>
            <w:proofErr w:type="gramEnd"/>
            <w:r w:rsidRPr="7EA0B018">
              <w:rPr>
                <w:rFonts w:ascii="Arial" w:hAnsi="Arial"/>
                <w:sz w:val="16"/>
                <w:szCs w:val="16"/>
              </w:rPr>
              <w:t xml:space="preserve"> and the community.  </w:t>
            </w:r>
          </w:p>
        </w:tc>
      </w:tr>
      <w:tr w:rsidR="000F70D4" w:rsidRPr="000F70D4" w14:paraId="18709838"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578A92EB"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Drought (including loss of water to power stations and changing ground moisture conditions)</w:t>
            </w:r>
          </w:p>
        </w:tc>
        <w:tc>
          <w:tcPr>
            <w:tcW w:w="5312" w:type="dxa"/>
            <w:tcBorders>
              <w:top w:val="single" w:sz="12" w:space="0" w:color="FF9900"/>
              <w:left w:val="single" w:sz="12" w:space="0" w:color="FF9900"/>
              <w:bottom w:val="single" w:sz="12" w:space="0" w:color="FF9900"/>
              <w:right w:val="single" w:sz="12" w:space="0" w:color="FF9900"/>
            </w:tcBorders>
            <w:shd w:val="clear" w:color="auto" w:fill="FFFFFF" w:themeFill="background1"/>
          </w:tcPr>
          <w:p w14:paraId="7A332DCA"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0F70D4">
              <w:rPr>
                <w:rFonts w:ascii="Arial" w:hAnsi="Arial"/>
                <w:sz w:val="16"/>
                <w:szCs w:val="16"/>
              </w:rPr>
              <w:t xml:space="preserve">Extended loss of energy production or transmission due to water being unavailable to power stations or from damage to pipeline coating or pipelines from changes in soil moisture.  </w:t>
            </w:r>
          </w:p>
        </w:tc>
      </w:tr>
      <w:tr w:rsidR="000F70D4" w:rsidRPr="000F70D4" w14:paraId="4E1DB713"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9900"/>
              <w:left w:val="single" w:sz="12" w:space="0" w:color="FF9900"/>
              <w:bottom w:val="single" w:sz="12" w:space="0" w:color="FF9900"/>
              <w:right w:val="single" w:sz="12" w:space="0" w:color="FF9900"/>
            </w:tcBorders>
            <w:shd w:val="clear" w:color="auto" w:fill="FFC775"/>
          </w:tcPr>
          <w:p w14:paraId="328C5D4F"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Severe weather (including severe wind, lightning, flood – riverine and surface – and storm surge)</w:t>
            </w:r>
          </w:p>
        </w:tc>
        <w:tc>
          <w:tcPr>
            <w:tcW w:w="5312" w:type="dxa"/>
            <w:tcBorders>
              <w:top w:val="single" w:sz="12" w:space="0" w:color="FF9900"/>
              <w:left w:val="single" w:sz="12" w:space="0" w:color="FF9900"/>
              <w:bottom w:val="single" w:sz="12" w:space="0" w:color="FF9900"/>
              <w:right w:val="single" w:sz="12" w:space="0" w:color="FF9900"/>
            </w:tcBorders>
          </w:tcPr>
          <w:p w14:paraId="4DE465AF" w14:textId="419C69F0" w:rsidR="000F70D4" w:rsidRPr="000F70D4" w:rsidRDefault="63413CF9"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7EA0B018">
              <w:rPr>
                <w:rFonts w:ascii="Arial" w:hAnsi="Arial"/>
                <w:sz w:val="16"/>
                <w:szCs w:val="16"/>
              </w:rPr>
              <w:t>Extended loss of energy due to water/weather damage, loss of fuel supply</w:t>
            </w:r>
            <w:r w:rsidR="6856477C" w:rsidRPr="7EA0B018">
              <w:rPr>
                <w:rFonts w:ascii="Arial" w:hAnsi="Arial"/>
                <w:sz w:val="16"/>
                <w:szCs w:val="16"/>
              </w:rPr>
              <w:t>, gas production</w:t>
            </w:r>
            <w:r w:rsidRPr="7EA0B018">
              <w:rPr>
                <w:rFonts w:ascii="Arial" w:hAnsi="Arial"/>
                <w:sz w:val="16"/>
                <w:szCs w:val="16"/>
              </w:rPr>
              <w:t xml:space="preserve"> or loss of access to/control of </w:t>
            </w:r>
            <w:proofErr w:type="gramStart"/>
            <w:r w:rsidRPr="7EA0B018">
              <w:rPr>
                <w:rFonts w:ascii="Arial" w:hAnsi="Arial"/>
                <w:sz w:val="16"/>
                <w:szCs w:val="16"/>
              </w:rPr>
              <w:t>assets .</w:t>
            </w:r>
            <w:proofErr w:type="gramEnd"/>
          </w:p>
        </w:tc>
      </w:tr>
      <w:tr w:rsidR="000F70D4" w:rsidRPr="000F70D4" w14:paraId="2E831D94"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C000"/>
              <w:left w:val="single" w:sz="12" w:space="0" w:color="FFC000"/>
              <w:bottom w:val="single" w:sz="12" w:space="0" w:color="FFC000"/>
              <w:right w:val="single" w:sz="12" w:space="0" w:color="FFC000"/>
            </w:tcBorders>
            <w:shd w:val="clear" w:color="auto" w:fill="FFCC00"/>
          </w:tcPr>
          <w:p w14:paraId="65053F33" w14:textId="77777777" w:rsidR="000F70D4" w:rsidRPr="000F70D4" w:rsidRDefault="000F70D4" w:rsidP="000F70D4">
            <w:pPr>
              <w:spacing w:before="20" w:after="20"/>
              <w:rPr>
                <w:rFonts w:ascii="Arial" w:hAnsi="Arial"/>
                <w:color w:val="FFFFFF"/>
                <w:sz w:val="16"/>
                <w:szCs w:val="16"/>
              </w:rPr>
            </w:pPr>
            <w:r w:rsidRPr="000F70D4">
              <w:rPr>
                <w:rFonts w:ascii="Arial" w:hAnsi="Arial"/>
                <w:color w:val="FFFFFF"/>
                <w:sz w:val="16"/>
                <w:szCs w:val="16"/>
              </w:rPr>
              <w:t>MEDIUM RISK</w:t>
            </w:r>
          </w:p>
        </w:tc>
        <w:tc>
          <w:tcPr>
            <w:tcW w:w="5312" w:type="dxa"/>
            <w:tcBorders>
              <w:top w:val="single" w:sz="12" w:space="0" w:color="FFC000"/>
              <w:left w:val="single" w:sz="12" w:space="0" w:color="FFC000"/>
              <w:bottom w:val="single" w:sz="12" w:space="0" w:color="FFC000"/>
              <w:right w:val="single" w:sz="12" w:space="0" w:color="FFC000"/>
            </w:tcBorders>
            <w:shd w:val="clear" w:color="auto" w:fill="FFCC00"/>
          </w:tcPr>
          <w:p w14:paraId="15566591"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b/>
                <w:bCs/>
                <w:color w:val="FFFFFF"/>
                <w:sz w:val="16"/>
                <w:szCs w:val="16"/>
              </w:rPr>
            </w:pPr>
            <w:r w:rsidRPr="000F70D4">
              <w:rPr>
                <w:rFonts w:ascii="Arial" w:hAnsi="Arial"/>
                <w:b/>
                <w:bCs/>
                <w:color w:val="FFFFFF"/>
                <w:sz w:val="16"/>
                <w:szCs w:val="16"/>
              </w:rPr>
              <w:t>IMPACT</w:t>
            </w:r>
          </w:p>
        </w:tc>
      </w:tr>
      <w:tr w:rsidR="000F70D4" w:rsidRPr="000F70D4" w14:paraId="6AF5BB1A"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C000"/>
              <w:left w:val="single" w:sz="12" w:space="0" w:color="FFC000"/>
              <w:bottom w:val="single" w:sz="12" w:space="0" w:color="FFC000"/>
              <w:right w:val="single" w:sz="12" w:space="0" w:color="FFC000"/>
            </w:tcBorders>
            <w:shd w:val="clear" w:color="auto" w:fill="FFF2CC"/>
          </w:tcPr>
          <w:p w14:paraId="77128F8D"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Loss of electricity</w:t>
            </w:r>
          </w:p>
        </w:tc>
        <w:tc>
          <w:tcPr>
            <w:tcW w:w="5312" w:type="dxa"/>
            <w:tcBorders>
              <w:top w:val="single" w:sz="12" w:space="0" w:color="FFC000"/>
              <w:left w:val="single" w:sz="12" w:space="0" w:color="FFC000"/>
              <w:bottom w:val="single" w:sz="12" w:space="0" w:color="FFC000"/>
              <w:right w:val="single" w:sz="12" w:space="0" w:color="FFC000"/>
            </w:tcBorders>
          </w:tcPr>
          <w:p w14:paraId="1E1A1DCB"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Likely to have major impacts on fuel refining, fuel distribution and retail site operation as well as gas supply across the state.  </w:t>
            </w:r>
          </w:p>
        </w:tc>
      </w:tr>
      <w:tr w:rsidR="000F70D4" w:rsidRPr="000F70D4" w14:paraId="6A85BFA0"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C000"/>
              <w:left w:val="single" w:sz="12" w:space="0" w:color="FFC000"/>
              <w:bottom w:val="single" w:sz="12" w:space="0" w:color="FFC000"/>
              <w:right w:val="single" w:sz="12" w:space="0" w:color="FFC000"/>
            </w:tcBorders>
            <w:shd w:val="clear" w:color="auto" w:fill="FFF2CC"/>
          </w:tcPr>
          <w:p w14:paraId="7017C3C9"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Physical intrusion or attack</w:t>
            </w:r>
          </w:p>
        </w:tc>
        <w:tc>
          <w:tcPr>
            <w:tcW w:w="5312" w:type="dxa"/>
            <w:tcBorders>
              <w:top w:val="single" w:sz="12" w:space="0" w:color="FFC000"/>
              <w:left w:val="single" w:sz="12" w:space="0" w:color="FFC000"/>
              <w:bottom w:val="single" w:sz="12" w:space="0" w:color="FFC000"/>
              <w:right w:val="single" w:sz="12" w:space="0" w:color="FFC000"/>
            </w:tcBorders>
            <w:shd w:val="clear" w:color="auto" w:fill="FFFFFF" w:themeFill="background1"/>
          </w:tcPr>
          <w:p w14:paraId="5ABEF339"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0F70D4">
              <w:rPr>
                <w:rFonts w:ascii="Arial" w:hAnsi="Arial"/>
                <w:sz w:val="16"/>
                <w:szCs w:val="16"/>
              </w:rPr>
              <w:t xml:space="preserve">Could result in damage to infrastructure and/or harm to employees, reducing the supply of fuel or energy to the community. </w:t>
            </w:r>
          </w:p>
        </w:tc>
      </w:tr>
      <w:tr w:rsidR="000F70D4" w:rsidRPr="000F70D4" w14:paraId="4116EBAD"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FFC000"/>
              <w:left w:val="single" w:sz="12" w:space="0" w:color="FFC000"/>
              <w:bottom w:val="single" w:sz="12" w:space="0" w:color="FFC000"/>
              <w:right w:val="single" w:sz="12" w:space="0" w:color="FFC000"/>
            </w:tcBorders>
            <w:shd w:val="clear" w:color="auto" w:fill="FFF2CC"/>
          </w:tcPr>
          <w:p w14:paraId="281548E0"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Loss of communications</w:t>
            </w:r>
          </w:p>
        </w:tc>
        <w:tc>
          <w:tcPr>
            <w:tcW w:w="5312" w:type="dxa"/>
            <w:tcBorders>
              <w:top w:val="single" w:sz="12" w:space="0" w:color="FFC000"/>
              <w:left w:val="single" w:sz="12" w:space="0" w:color="FFC000"/>
              <w:bottom w:val="single" w:sz="12" w:space="0" w:color="FFC000"/>
              <w:right w:val="single" w:sz="12" w:space="0" w:color="FFC000"/>
            </w:tcBorders>
          </w:tcPr>
          <w:p w14:paraId="5399747E"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Extended loss of control systems. </w:t>
            </w:r>
          </w:p>
        </w:tc>
      </w:tr>
      <w:tr w:rsidR="000F70D4" w:rsidRPr="000F70D4" w14:paraId="37B7B250" w14:textId="77777777" w:rsidTr="7EA0B018">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0070C0"/>
              <w:left w:val="single" w:sz="12" w:space="0" w:color="0070C0"/>
              <w:bottom w:val="single" w:sz="12" w:space="0" w:color="0070C0"/>
              <w:right w:val="single" w:sz="12" w:space="0" w:color="0070C0"/>
            </w:tcBorders>
            <w:shd w:val="clear" w:color="auto" w:fill="5B9BD5"/>
          </w:tcPr>
          <w:p w14:paraId="275C26E3" w14:textId="77777777" w:rsidR="000F70D4" w:rsidRPr="000F70D4" w:rsidRDefault="000F70D4" w:rsidP="000F70D4">
            <w:pPr>
              <w:spacing w:before="20" w:after="20"/>
              <w:rPr>
                <w:rFonts w:ascii="Arial" w:hAnsi="Arial"/>
                <w:color w:val="FFFFFF"/>
                <w:sz w:val="16"/>
                <w:szCs w:val="16"/>
              </w:rPr>
            </w:pPr>
            <w:r w:rsidRPr="000F70D4">
              <w:rPr>
                <w:rFonts w:ascii="Arial" w:hAnsi="Arial"/>
                <w:color w:val="FFFFFF"/>
                <w:sz w:val="16"/>
                <w:szCs w:val="16"/>
              </w:rPr>
              <w:t>LOW RISK</w:t>
            </w:r>
          </w:p>
        </w:tc>
        <w:tc>
          <w:tcPr>
            <w:tcW w:w="5312" w:type="dxa"/>
            <w:tcBorders>
              <w:top w:val="single" w:sz="12" w:space="0" w:color="0070C0"/>
              <w:left w:val="single" w:sz="12" w:space="0" w:color="0070C0"/>
              <w:bottom w:val="single" w:sz="12" w:space="0" w:color="0070C0"/>
              <w:right w:val="single" w:sz="12" w:space="0" w:color="0070C0"/>
            </w:tcBorders>
            <w:shd w:val="clear" w:color="auto" w:fill="5B9BD5"/>
          </w:tcPr>
          <w:p w14:paraId="154CA08B" w14:textId="77777777" w:rsidR="000F70D4" w:rsidRPr="000F70D4" w:rsidRDefault="000F70D4" w:rsidP="000F70D4">
            <w:pPr>
              <w:spacing w:before="20" w:after="20"/>
              <w:cnfStyle w:val="000000100000" w:firstRow="0" w:lastRow="0" w:firstColumn="0" w:lastColumn="0" w:oddVBand="0" w:evenVBand="0" w:oddHBand="1" w:evenHBand="0" w:firstRowFirstColumn="0" w:firstRowLastColumn="0" w:lastRowFirstColumn="0" w:lastRowLastColumn="0"/>
              <w:rPr>
                <w:rFonts w:ascii="Arial" w:hAnsi="Arial"/>
                <w:color w:val="FFFFFF"/>
                <w:sz w:val="16"/>
                <w:szCs w:val="16"/>
              </w:rPr>
            </w:pPr>
            <w:r w:rsidRPr="000F70D4">
              <w:rPr>
                <w:rFonts w:ascii="Arial" w:hAnsi="Arial"/>
                <w:color w:val="FFFFFF"/>
                <w:sz w:val="16"/>
                <w:szCs w:val="16"/>
              </w:rPr>
              <w:t>IMPACT</w:t>
            </w:r>
          </w:p>
        </w:tc>
      </w:tr>
      <w:tr w:rsidR="000F70D4" w:rsidRPr="000F70D4" w14:paraId="4D5C4772" w14:textId="77777777" w:rsidTr="7EA0B018">
        <w:trPr>
          <w:tblCellSpacing w:w="28" w:type="dxa"/>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0070C0"/>
              <w:left w:val="single" w:sz="12" w:space="0" w:color="0070C0"/>
              <w:bottom w:val="single" w:sz="12" w:space="0" w:color="0070C0"/>
              <w:right w:val="single" w:sz="12" w:space="0" w:color="0070C0"/>
            </w:tcBorders>
            <w:shd w:val="clear" w:color="auto" w:fill="DEEAF6"/>
          </w:tcPr>
          <w:p w14:paraId="1D407B49" w14:textId="77777777" w:rsidR="000F70D4" w:rsidRPr="000F70D4" w:rsidRDefault="000F70D4" w:rsidP="000F70D4">
            <w:pPr>
              <w:spacing w:before="20" w:after="20"/>
              <w:rPr>
                <w:rFonts w:ascii="Arial" w:hAnsi="Arial"/>
                <w:sz w:val="16"/>
                <w:szCs w:val="16"/>
              </w:rPr>
            </w:pPr>
            <w:r w:rsidRPr="000F70D4">
              <w:rPr>
                <w:rFonts w:ascii="Arial" w:hAnsi="Arial"/>
                <w:sz w:val="16"/>
                <w:szCs w:val="16"/>
              </w:rPr>
              <w:t>Loss of liquid fuel supply</w:t>
            </w:r>
          </w:p>
        </w:tc>
        <w:tc>
          <w:tcPr>
            <w:tcW w:w="5312" w:type="dxa"/>
            <w:tcBorders>
              <w:top w:val="single" w:sz="12" w:space="0" w:color="0070C0"/>
              <w:left w:val="single" w:sz="12" w:space="0" w:color="0070C0"/>
              <w:bottom w:val="single" w:sz="12" w:space="0" w:color="0070C0"/>
              <w:right w:val="single" w:sz="12" w:space="0" w:color="0070C0"/>
            </w:tcBorders>
          </w:tcPr>
          <w:p w14:paraId="4DC6594A" w14:textId="77777777" w:rsidR="000F70D4" w:rsidRPr="000F70D4" w:rsidRDefault="000F70D4" w:rsidP="000F70D4">
            <w:pPr>
              <w:spacing w:before="20" w:after="20"/>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0F70D4">
              <w:rPr>
                <w:rFonts w:ascii="Arial" w:hAnsi="Arial"/>
                <w:sz w:val="16"/>
                <w:szCs w:val="16"/>
              </w:rPr>
              <w:t xml:space="preserve">Restricted or total loss of access to liquid fuels impacting capacity to meet vehicle fleet, auxiliary equipment and plant demands resulting in loss of energy production or transmission and/or emergency response capability. Loss of liquid fuel would have both economic and community impacts.  </w:t>
            </w:r>
          </w:p>
        </w:tc>
      </w:tr>
    </w:tbl>
    <w:p w14:paraId="512BC4F7" w14:textId="77777777" w:rsidR="00DD2A1D" w:rsidRPr="003907AC" w:rsidRDefault="00DD2A1D" w:rsidP="00DD2A1D">
      <w:pPr>
        <w:pStyle w:val="Heading1"/>
      </w:pPr>
      <w:bookmarkStart w:id="651" w:name="_Toc90319404"/>
      <w:bookmarkStart w:id="652" w:name="_Toc471513596"/>
      <w:bookmarkStart w:id="653" w:name="_Toc1438917588"/>
      <w:bookmarkStart w:id="654" w:name="_Toc1369216912"/>
      <w:bookmarkStart w:id="655" w:name="_Toc1544843744"/>
      <w:bookmarkStart w:id="656" w:name="_Toc1173371288"/>
      <w:bookmarkStart w:id="657" w:name="_Toc2134525851"/>
      <w:bookmarkStart w:id="658" w:name="_Toc1579539447"/>
      <w:bookmarkStart w:id="659" w:name="_Toc1307343499"/>
      <w:bookmarkStart w:id="660" w:name="_Toc718551242"/>
      <w:bookmarkStart w:id="661" w:name="_Toc454591971"/>
      <w:bookmarkStart w:id="662" w:name="_Toc38194511"/>
      <w:bookmarkStart w:id="663" w:name="_Toc207521897"/>
      <w:bookmarkStart w:id="664" w:name="_Toc1740342876"/>
      <w:bookmarkStart w:id="665" w:name="_Toc369415834"/>
      <w:bookmarkStart w:id="666" w:name="_Toc270555684"/>
      <w:bookmarkStart w:id="667" w:name="_Toc636451087"/>
      <w:bookmarkStart w:id="668" w:name="_Toc1494316729"/>
      <w:bookmarkStart w:id="669" w:name="_Toc1674293933"/>
      <w:bookmarkStart w:id="670" w:name="_Toc1774006380"/>
      <w:bookmarkStart w:id="671" w:name="_Toc1656914322"/>
      <w:bookmarkStart w:id="672" w:name="_Toc1287482335"/>
      <w:bookmarkStart w:id="673" w:name="_Toc266370202"/>
      <w:bookmarkStart w:id="674" w:name="_Toc1184870244"/>
      <w:bookmarkStart w:id="675" w:name="_Toc1600612474"/>
      <w:bookmarkStart w:id="676" w:name="_Toc294789776"/>
      <w:bookmarkStart w:id="677" w:name="_Toc885293556"/>
      <w:bookmarkStart w:id="678" w:name="_Toc523119183"/>
      <w:bookmarkStart w:id="679" w:name="_Toc2085515912"/>
      <w:bookmarkStart w:id="680" w:name="_Toc1837893875"/>
      <w:bookmarkStart w:id="681" w:name="_Toc1761349534"/>
      <w:bookmarkStart w:id="682" w:name="_Toc1747532417"/>
      <w:bookmarkStart w:id="683" w:name="_Toc1741049783"/>
      <w:bookmarkStart w:id="684" w:name="_Toc1531399426"/>
      <w:bookmarkStart w:id="685" w:name="_Toc578625717"/>
      <w:bookmarkStart w:id="686" w:name="_Toc1885482011"/>
      <w:bookmarkStart w:id="687" w:name="_Toc527663220"/>
      <w:bookmarkStart w:id="688" w:name="_Toc1349626192"/>
      <w:bookmarkStart w:id="689" w:name="_Toc517889175"/>
      <w:bookmarkStart w:id="690" w:name="_Toc199629811"/>
      <w:bookmarkStart w:id="691" w:name="_Toc1813401646"/>
      <w:bookmarkStart w:id="692" w:name="_Toc1512095962"/>
      <w:bookmarkStart w:id="693" w:name="_Toc880128551"/>
      <w:bookmarkStart w:id="694" w:name="_Toc866377720"/>
      <w:bookmarkStart w:id="695" w:name="_Toc1587240324"/>
      <w:bookmarkStart w:id="696" w:name="_Toc1228255484"/>
      <w:bookmarkStart w:id="697" w:name="_Ref92436971"/>
      <w:bookmarkStart w:id="698" w:name="_Toc94013168"/>
      <w:r>
        <w:lastRenderedPageBreak/>
        <w:t>Energy emergencies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17300BE1" w14:textId="77777777" w:rsidR="00DD2A1D" w:rsidRPr="003907AC" w:rsidRDefault="00DD2A1D" w:rsidP="000F70D4">
      <w:pPr>
        <w:pStyle w:val="BodyText"/>
      </w:pPr>
      <w:r w:rsidRPr="003907AC">
        <w:t xml:space="preserve">An energy emergency is any disruption of electricity, gas or liquid fuel supply that has an impact on health, property, the </w:t>
      </w:r>
      <w:proofErr w:type="gramStart"/>
      <w:r w:rsidRPr="003907AC">
        <w:t>economy</w:t>
      </w:r>
      <w:proofErr w:type="gramEnd"/>
      <w:r w:rsidRPr="003907AC">
        <w:t xml:space="preserve"> or the environment.</w:t>
      </w:r>
    </w:p>
    <w:p w14:paraId="2944698B" w14:textId="3406B641" w:rsidR="00DD2A1D" w:rsidRPr="003907AC" w:rsidRDefault="00D735DF" w:rsidP="000F70D4">
      <w:pPr>
        <w:pStyle w:val="BodyText"/>
      </w:pPr>
      <w:r>
        <w:t>D</w:t>
      </w:r>
      <w:r w:rsidR="00DD2A1D" w:rsidRPr="003907AC">
        <w:t xml:space="preserve">isruptions can occur at any point in the energy supply chain. In general, minor disruptions and incidents impacting energy infrastructure are managed by industry and relevant response agencies as part of normal day-to-day supply operations. </w:t>
      </w:r>
    </w:p>
    <w:p w14:paraId="7DF86D37" w14:textId="477AE68A" w:rsidR="00DD2A1D" w:rsidRDefault="71454302" w:rsidP="00B77963">
      <w:pPr>
        <w:rPr>
          <w:rFonts w:ascii="Arial" w:hAnsi="Arial"/>
          <w:color w:val="006794"/>
          <w:sz w:val="24"/>
          <w:szCs w:val="24"/>
        </w:rPr>
      </w:pPr>
      <w:r w:rsidRPr="1150DFB1">
        <w:rPr>
          <w:rFonts w:ascii="Arial" w:eastAsia="Arial" w:hAnsi="Arial"/>
          <w:color w:val="006794"/>
          <w:sz w:val="24"/>
          <w:szCs w:val="24"/>
        </w:rPr>
        <w:t xml:space="preserve"> </w:t>
      </w:r>
      <w:r w:rsidR="00DD2A1D">
        <w:br/>
      </w:r>
      <w:r w:rsidRPr="00B77963">
        <w:rPr>
          <w:rFonts w:ascii="Arial" w:eastAsia="Arial" w:hAnsi="Arial"/>
          <w:b/>
          <w:bCs/>
          <w:color w:val="006794"/>
          <w:sz w:val="24"/>
          <w:szCs w:val="24"/>
        </w:rPr>
        <w:t>Major emergencies</w:t>
      </w:r>
    </w:p>
    <w:p w14:paraId="462906F5" w14:textId="24E0E4A1" w:rsidR="71454302" w:rsidRPr="00B77963" w:rsidRDefault="71454302" w:rsidP="00B77963">
      <w:pPr>
        <w:pStyle w:val="BodyText"/>
        <w:rPr>
          <w:rFonts w:eastAsiaTheme="minorEastAsia"/>
        </w:rPr>
      </w:pPr>
      <w:r w:rsidRPr="00B77963">
        <w:t>Major emergencies are defined in the Emergency Management Act 2013.</w:t>
      </w:r>
    </w:p>
    <w:p w14:paraId="1A6FA5CF" w14:textId="5A8B2328" w:rsidR="71454302" w:rsidRPr="00B77963" w:rsidRDefault="71454302" w:rsidP="00B77963">
      <w:pPr>
        <w:pStyle w:val="BodyText"/>
        <w:rPr>
          <w:rFonts w:eastAsiaTheme="minorEastAsia"/>
        </w:rPr>
      </w:pPr>
      <w:r w:rsidRPr="00B77963">
        <w:t>A ‘</w:t>
      </w:r>
      <w:r w:rsidR="009E62FA">
        <w:t>m</w:t>
      </w:r>
      <w:r w:rsidRPr="00B77963">
        <w:t>ajor emergency’ is a large or complex emergency, with the potential to:</w:t>
      </w:r>
    </w:p>
    <w:p w14:paraId="35B9021A" w14:textId="1C24BBB7" w:rsidR="71454302" w:rsidRPr="00B77963" w:rsidRDefault="71454302" w:rsidP="0075092B">
      <w:pPr>
        <w:pStyle w:val="ListParagraph"/>
        <w:numPr>
          <w:ilvl w:val="0"/>
          <w:numId w:val="22"/>
        </w:numPr>
      </w:pPr>
      <w:r w:rsidRPr="00B77963">
        <w:t xml:space="preserve">cause loss of life, or extensive damage to property, </w:t>
      </w:r>
      <w:proofErr w:type="gramStart"/>
      <w:r w:rsidRPr="00B77963">
        <w:t>infrastructure</w:t>
      </w:r>
      <w:proofErr w:type="gramEnd"/>
      <w:r w:rsidRPr="00B77963">
        <w:t xml:space="preserve"> or the environment; or</w:t>
      </w:r>
    </w:p>
    <w:p w14:paraId="5979C1C3" w14:textId="6218A2E5" w:rsidR="71454302" w:rsidRPr="00B77963" w:rsidRDefault="71454302">
      <w:pPr>
        <w:pStyle w:val="ListParagraph"/>
        <w:numPr>
          <w:ilvl w:val="0"/>
          <w:numId w:val="22"/>
        </w:numPr>
      </w:pPr>
      <w:r w:rsidRPr="00B77963">
        <w:t xml:space="preserve">have significant adverse impact on the community, or part of the community; or </w:t>
      </w:r>
    </w:p>
    <w:p w14:paraId="096CBCA9" w14:textId="3FD0F92B" w:rsidR="71454302" w:rsidRPr="00B77963" w:rsidRDefault="71454302">
      <w:pPr>
        <w:pStyle w:val="ListParagraph"/>
        <w:numPr>
          <w:ilvl w:val="0"/>
          <w:numId w:val="22"/>
        </w:numPr>
      </w:pPr>
      <w:r w:rsidRPr="00B77963">
        <w:t>require the involvement of two or more agencies to manage the emergency.</w:t>
      </w:r>
    </w:p>
    <w:p w14:paraId="0D7A5F09" w14:textId="56CE39EA" w:rsidR="71454302" w:rsidRPr="00B77963" w:rsidRDefault="71454302" w:rsidP="00B77963">
      <w:pPr>
        <w:pStyle w:val="BodyText"/>
        <w:rPr>
          <w:rFonts w:eastAsiaTheme="minorEastAsia"/>
        </w:rPr>
      </w:pPr>
      <w:r w:rsidRPr="00B77963">
        <w:t xml:space="preserve">A ‘Class 2’ energy </w:t>
      </w:r>
      <w:proofErr w:type="gramStart"/>
      <w:r w:rsidRPr="00B77963">
        <w:t>emergency  is</w:t>
      </w:r>
      <w:proofErr w:type="gramEnd"/>
      <w:r w:rsidRPr="00B77963">
        <w:t xml:space="preserve"> a disruption of electricity, gas and petroleum or liquid fuels supply that is a ‘major emergency’ as defined by the Emergency Management Act.</w:t>
      </w:r>
    </w:p>
    <w:p w14:paraId="2046C89D" w14:textId="77777777" w:rsidR="00DD2A1D" w:rsidRPr="003907AC" w:rsidRDefault="00DD2A1D" w:rsidP="000F70D4">
      <w:pPr>
        <w:pStyle w:val="BodyText"/>
      </w:pPr>
      <w:r w:rsidRPr="003907AC">
        <w:t xml:space="preserve">A proclamation or declaration does not need to be made for an emergency to be a Class 2 energy emergency. </w:t>
      </w:r>
    </w:p>
    <w:p w14:paraId="568AE4E8" w14:textId="77777777" w:rsidR="00DD2A1D" w:rsidRPr="003907AC" w:rsidRDefault="00DD2A1D" w:rsidP="000F70D4">
      <w:pPr>
        <w:pStyle w:val="BodyText"/>
      </w:pPr>
      <w:r w:rsidRPr="003907AC">
        <w:t>Class 2 energy emergencies can include:</w:t>
      </w:r>
    </w:p>
    <w:p w14:paraId="297C8920" w14:textId="77777777" w:rsidR="00DD2A1D" w:rsidRPr="003907AC" w:rsidRDefault="00DD2A1D" w:rsidP="0075092B">
      <w:pPr>
        <w:pStyle w:val="ListParagraph"/>
        <w:numPr>
          <w:ilvl w:val="0"/>
          <w:numId w:val="22"/>
        </w:numPr>
      </w:pPr>
      <w:r w:rsidRPr="003907AC">
        <w:t xml:space="preserve">extensive physical damage to assets and infrastructure </w:t>
      </w:r>
    </w:p>
    <w:p w14:paraId="29A5593B" w14:textId="77777777" w:rsidR="00DD2A1D" w:rsidRPr="003907AC" w:rsidRDefault="00DD2A1D">
      <w:pPr>
        <w:pStyle w:val="ListParagraph"/>
        <w:numPr>
          <w:ilvl w:val="0"/>
          <w:numId w:val="22"/>
        </w:numPr>
      </w:pPr>
      <w:r w:rsidRPr="003907AC">
        <w:t xml:space="preserve">events that cause the supply system to operate outside of its technical operating parameters, typically due to supply/demand imbalances </w:t>
      </w:r>
    </w:p>
    <w:p w14:paraId="475D06A6" w14:textId="75AC6293" w:rsidR="00DD2A1D" w:rsidRPr="003907AC" w:rsidRDefault="00DD2A1D">
      <w:pPr>
        <w:pStyle w:val="ListParagraph"/>
        <w:numPr>
          <w:ilvl w:val="0"/>
          <w:numId w:val="22"/>
        </w:numPr>
      </w:pPr>
      <w:r w:rsidRPr="003907AC">
        <w:t xml:space="preserve">technical failure and </w:t>
      </w:r>
      <w:r w:rsidR="00B77963">
        <w:t xml:space="preserve">‘off-specification’ </w:t>
      </w:r>
      <w:r w:rsidRPr="003907AC">
        <w:t xml:space="preserve">product </w:t>
      </w:r>
      <w:r w:rsidR="00B77963">
        <w:t>(</w:t>
      </w:r>
      <w:proofErr w:type="gramStart"/>
      <w:r w:rsidR="00B77963">
        <w:t>i.e.</w:t>
      </w:r>
      <w:proofErr w:type="gramEnd"/>
      <w:r w:rsidR="00B77963">
        <w:t xml:space="preserve"> </w:t>
      </w:r>
      <w:r w:rsidR="00E41F95">
        <w:t xml:space="preserve">the </w:t>
      </w:r>
      <w:r w:rsidRPr="003907AC">
        <w:t>quality</w:t>
      </w:r>
      <w:r w:rsidR="00E41F95">
        <w:t xml:space="preserve"> of the available product is not fit for purpose)</w:t>
      </w:r>
    </w:p>
    <w:p w14:paraId="7C26E32B" w14:textId="77777777" w:rsidR="00192486" w:rsidRDefault="00DD2A1D">
      <w:pPr>
        <w:pStyle w:val="ListParagraph"/>
        <w:numPr>
          <w:ilvl w:val="0"/>
          <w:numId w:val="22"/>
        </w:numPr>
      </w:pPr>
      <w:r w:rsidRPr="003907AC">
        <w:t>supply chain interruption</w:t>
      </w:r>
    </w:p>
    <w:p w14:paraId="56D4DC74" w14:textId="3ECD3463" w:rsidR="00DD2A1D" w:rsidRPr="003907AC" w:rsidRDefault="00192486">
      <w:pPr>
        <w:pStyle w:val="ListParagraph"/>
        <w:numPr>
          <w:ilvl w:val="0"/>
          <w:numId w:val="22"/>
        </w:numPr>
      </w:pPr>
      <w:r>
        <w:t xml:space="preserve">retail disruption that has a </w:t>
      </w:r>
      <w:r w:rsidRPr="00B77963">
        <w:t>significant adverse impact on the community, or part of the community</w:t>
      </w:r>
    </w:p>
    <w:p w14:paraId="3F1A394A" w14:textId="77777777" w:rsidR="00DD2A1D" w:rsidRPr="003907AC" w:rsidRDefault="00DD2A1D">
      <w:pPr>
        <w:pStyle w:val="ListParagraph"/>
        <w:numPr>
          <w:ilvl w:val="0"/>
          <w:numId w:val="22"/>
        </w:numPr>
      </w:pPr>
      <w:r w:rsidRPr="003907AC">
        <w:t>workforce disruption.</w:t>
      </w:r>
      <w:bookmarkStart w:id="699" w:name="_Toc82274478"/>
      <w:bookmarkStart w:id="700" w:name="_Toc82274479"/>
    </w:p>
    <w:p w14:paraId="6C149BFB" w14:textId="77777777" w:rsidR="00DD2A1D" w:rsidRPr="003907AC" w:rsidRDefault="00DD2A1D" w:rsidP="00DD2A1D">
      <w:pPr>
        <w:rPr>
          <w:color w:val="006794"/>
          <w:sz w:val="24"/>
          <w:szCs w:val="30"/>
        </w:rPr>
      </w:pPr>
      <w:bookmarkStart w:id="701" w:name="_Toc82350780"/>
      <w:r w:rsidRPr="003907AC">
        <w:br w:type="page"/>
      </w:r>
    </w:p>
    <w:p w14:paraId="6DB0CCB0" w14:textId="77777777" w:rsidR="00DD2A1D" w:rsidRPr="003907AC" w:rsidRDefault="00DD2A1D" w:rsidP="00DD2A1D">
      <w:pPr>
        <w:pStyle w:val="Heading2"/>
      </w:pPr>
      <w:bookmarkStart w:id="702" w:name="_Toc90319406"/>
      <w:bookmarkStart w:id="703" w:name="_Toc1104543789"/>
      <w:bookmarkStart w:id="704" w:name="_Toc1031894592"/>
      <w:bookmarkStart w:id="705" w:name="_Toc589444489"/>
      <w:bookmarkStart w:id="706" w:name="_Toc318484495"/>
      <w:bookmarkStart w:id="707" w:name="_Toc1919803018"/>
      <w:bookmarkStart w:id="708" w:name="_Toc1143434696"/>
      <w:bookmarkStart w:id="709" w:name="_Toc2027680852"/>
      <w:bookmarkStart w:id="710" w:name="_Toc719550572"/>
      <w:bookmarkStart w:id="711" w:name="_Toc425980086"/>
      <w:bookmarkStart w:id="712" w:name="_Toc1784501756"/>
      <w:bookmarkStart w:id="713" w:name="_Toc370136106"/>
      <w:bookmarkStart w:id="714" w:name="_Toc127455940"/>
      <w:bookmarkStart w:id="715" w:name="_Toc218161604"/>
      <w:bookmarkStart w:id="716" w:name="_Toc344876180"/>
      <w:bookmarkStart w:id="717" w:name="_Toc424450267"/>
      <w:bookmarkStart w:id="718" w:name="_Toc1560097229"/>
      <w:bookmarkStart w:id="719" w:name="_Toc1358453367"/>
      <w:bookmarkStart w:id="720" w:name="_Toc741293718"/>
      <w:bookmarkStart w:id="721" w:name="_Toc858726649"/>
      <w:bookmarkStart w:id="722" w:name="_Toc1503495317"/>
      <w:bookmarkStart w:id="723" w:name="_Toc233068840"/>
      <w:bookmarkStart w:id="724" w:name="_Toc577270047"/>
      <w:bookmarkStart w:id="725" w:name="_Toc667411403"/>
      <w:bookmarkStart w:id="726" w:name="_Toc893458380"/>
      <w:bookmarkStart w:id="727" w:name="_Toc9207711"/>
      <w:bookmarkStart w:id="728" w:name="_Toc593405307"/>
      <w:bookmarkStart w:id="729" w:name="_Toc1859511935"/>
      <w:bookmarkStart w:id="730" w:name="_Toc1146561164"/>
      <w:bookmarkStart w:id="731" w:name="_Toc821803437"/>
      <w:bookmarkStart w:id="732" w:name="_Toc717159570"/>
      <w:bookmarkStart w:id="733" w:name="_Toc889089792"/>
      <w:bookmarkStart w:id="734" w:name="_Toc183255559"/>
      <w:bookmarkStart w:id="735" w:name="_Toc910383459"/>
      <w:bookmarkStart w:id="736" w:name="_Toc1059178951"/>
      <w:bookmarkStart w:id="737" w:name="_Toc785997635"/>
      <w:bookmarkStart w:id="738" w:name="_Toc1897783427"/>
      <w:bookmarkStart w:id="739" w:name="_Toc380686518"/>
      <w:bookmarkStart w:id="740" w:name="_Toc2111438846"/>
      <w:bookmarkStart w:id="741" w:name="_Toc284944699"/>
      <w:bookmarkStart w:id="742" w:name="_Toc508396373"/>
      <w:bookmarkStart w:id="743" w:name="_Toc1649492032"/>
      <w:bookmarkStart w:id="744" w:name="_Toc330043759"/>
      <w:bookmarkStart w:id="745" w:name="_Toc270216318"/>
      <w:bookmarkStart w:id="746" w:name="_Toc1362445884"/>
      <w:bookmarkStart w:id="747" w:name="_Toc376976191"/>
      <w:bookmarkStart w:id="748" w:name="_Toc94013169"/>
      <w:r>
        <w:lastRenderedPageBreak/>
        <w:t xml:space="preserve">Levels of energy </w:t>
      </w:r>
      <w:bookmarkEnd w:id="699"/>
      <w:r>
        <w:t>emergencies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32A97A58" w14:textId="3E045286" w:rsidR="00DD2A1D" w:rsidRPr="003907AC" w:rsidRDefault="00DD2A1D" w:rsidP="000F70D4">
      <w:pPr>
        <w:pStyle w:val="BodyText"/>
      </w:pPr>
      <w:r w:rsidRPr="003907AC">
        <w:t xml:space="preserve">For </w:t>
      </w:r>
      <w:r w:rsidR="00D913F6">
        <w:t>localised</w:t>
      </w:r>
      <w:r w:rsidRPr="003907AC">
        <w:t xml:space="preserve"> and limited impact energy emergencies, the relevant owner/operator is responsible to manage the incident.</w:t>
      </w:r>
      <w:r w:rsidR="003A74F6">
        <w:t xml:space="preserve"> This can include minor infrastructure damage or localised retail impact</w:t>
      </w:r>
      <w:r w:rsidR="00712D69">
        <w:t>.</w:t>
      </w:r>
      <w:r w:rsidR="003A74F6">
        <w:t xml:space="preserve"> </w:t>
      </w:r>
      <w:r w:rsidR="006842BF">
        <w:t xml:space="preserve">DELWP </w:t>
      </w:r>
      <w:proofErr w:type="gramStart"/>
      <w:r w:rsidR="006842BF">
        <w:t>monitors, and</w:t>
      </w:r>
      <w:proofErr w:type="gramEnd"/>
      <w:r w:rsidR="006842BF">
        <w:t xml:space="preserve"> provides subject matter expertise</w:t>
      </w:r>
      <w:r w:rsidR="00AD1E62">
        <w:t xml:space="preserve"> to emergency management agencies.</w:t>
      </w:r>
      <w:r w:rsidR="006F5601">
        <w:t xml:space="preserve"> </w:t>
      </w:r>
    </w:p>
    <w:p w14:paraId="2AC745EE" w14:textId="16D08683" w:rsidR="00DD2A1D" w:rsidRPr="003907AC" w:rsidRDefault="00DD2A1D" w:rsidP="000F70D4">
      <w:pPr>
        <w:pStyle w:val="BodyText"/>
      </w:pPr>
      <w:r w:rsidRPr="003907AC">
        <w:rPr>
          <w:b/>
          <w:bCs/>
        </w:rPr>
        <w:fldChar w:fldCharType="begin"/>
      </w:r>
      <w:r w:rsidRPr="003907AC">
        <w:rPr>
          <w:b/>
          <w:bCs/>
        </w:rPr>
        <w:instrText xml:space="preserve"> REF _Ref90310854 \h  \* MERGEFORMAT </w:instrText>
      </w:r>
      <w:r w:rsidRPr="003907AC">
        <w:rPr>
          <w:b/>
          <w:bCs/>
        </w:rPr>
      </w:r>
      <w:r w:rsidRPr="003907AC">
        <w:rPr>
          <w:b/>
          <w:bCs/>
        </w:rPr>
        <w:fldChar w:fldCharType="separate"/>
      </w:r>
      <w:r w:rsidR="00A45804" w:rsidRPr="00A45804">
        <w:rPr>
          <w:b/>
          <w:bCs/>
        </w:rPr>
        <w:t xml:space="preserve">Table </w:t>
      </w:r>
      <w:r w:rsidR="00A45804" w:rsidRPr="00A45804">
        <w:rPr>
          <w:b/>
          <w:bCs/>
          <w:noProof/>
        </w:rPr>
        <w:t>3</w:t>
      </w:r>
      <w:r w:rsidRPr="003907AC">
        <w:rPr>
          <w:b/>
          <w:bCs/>
        </w:rPr>
        <w:fldChar w:fldCharType="end"/>
      </w:r>
      <w:r w:rsidRPr="003907AC">
        <w:rPr>
          <w:b/>
          <w:bCs/>
        </w:rPr>
        <w:t xml:space="preserve"> </w:t>
      </w:r>
      <w:r w:rsidRPr="003907AC">
        <w:t xml:space="preserve">outlines the general triggers, </w:t>
      </w:r>
      <w:proofErr w:type="gramStart"/>
      <w:r w:rsidRPr="003907AC">
        <w:t>actions</w:t>
      </w:r>
      <w:proofErr w:type="gramEnd"/>
      <w:r w:rsidRPr="003907AC">
        <w:t xml:space="preserve"> and location of control for localised, limited and major impact energy emergencies.</w:t>
      </w:r>
    </w:p>
    <w:p w14:paraId="39D28BA3" w14:textId="77777777" w:rsidR="00DD2A1D" w:rsidRPr="003907AC" w:rsidRDefault="00DD2A1D" w:rsidP="000F70D4">
      <w:pPr>
        <w:pStyle w:val="BodyText"/>
      </w:pPr>
      <w:r w:rsidRPr="003907AC">
        <w:t xml:space="preserve">Specific ‘major emergency’ triggers are described for electricity, </w:t>
      </w:r>
      <w:proofErr w:type="gramStart"/>
      <w:r w:rsidRPr="003907AC">
        <w:t>gas</w:t>
      </w:r>
      <w:proofErr w:type="gramEnd"/>
      <w:r w:rsidRPr="003907AC">
        <w:t xml:space="preserve"> and liquid fuels in </w:t>
      </w:r>
      <w:r w:rsidRPr="003907AC">
        <w:rPr>
          <w:b/>
          <w:bCs/>
        </w:rPr>
        <w:t>Appendix A</w:t>
      </w:r>
      <w:r w:rsidRPr="003907AC">
        <w:t xml:space="preserve">.  </w:t>
      </w:r>
    </w:p>
    <w:p w14:paraId="5D43AD53" w14:textId="07AF7A63" w:rsidR="00DD2A1D" w:rsidRPr="003907AC" w:rsidRDefault="00DD2A1D" w:rsidP="00DD2A1D">
      <w:pPr>
        <w:pStyle w:val="Caption"/>
      </w:pPr>
      <w:bookmarkStart w:id="749" w:name="_Ref90310854"/>
      <w:r w:rsidRPr="003907AC">
        <w:t xml:space="preserve">Table </w:t>
      </w:r>
      <w:r w:rsidRPr="003907AC">
        <w:fldChar w:fldCharType="begin"/>
      </w:r>
      <w:r w:rsidRPr="003907AC">
        <w:instrText>SEQ Table \* ARABIC</w:instrText>
      </w:r>
      <w:r w:rsidRPr="003907AC">
        <w:fldChar w:fldCharType="separate"/>
      </w:r>
      <w:r w:rsidR="00A45804">
        <w:rPr>
          <w:noProof/>
        </w:rPr>
        <w:t>3</w:t>
      </w:r>
      <w:r w:rsidRPr="003907AC">
        <w:fldChar w:fldCharType="end"/>
      </w:r>
      <w:bookmarkEnd w:id="749"/>
      <w:r w:rsidRPr="003907AC">
        <w:t xml:space="preserve">: </w:t>
      </w:r>
      <w:r w:rsidR="00AA6C60">
        <w:t>S</w:t>
      </w:r>
      <w:r w:rsidR="00AA6C60" w:rsidRPr="003907AC">
        <w:t xml:space="preserve">ummary </w:t>
      </w:r>
      <w:r w:rsidRPr="003907AC">
        <w:t>of triggers, actions and control for energy incidents and emergencies</w:t>
      </w:r>
    </w:p>
    <w:tbl>
      <w:tblPr>
        <w:tblStyle w:val="TableGrid7"/>
        <w:tblW w:w="8642" w:type="dxa"/>
        <w:tblCellSpacing w:w="28" w:type="dxa"/>
        <w:tblLook w:val="04A0" w:firstRow="1" w:lastRow="0" w:firstColumn="1" w:lastColumn="0" w:noHBand="0" w:noVBand="1"/>
      </w:tblPr>
      <w:tblGrid>
        <w:gridCol w:w="849"/>
        <w:gridCol w:w="718"/>
        <w:gridCol w:w="2256"/>
        <w:gridCol w:w="1844"/>
        <w:gridCol w:w="1649"/>
        <w:gridCol w:w="1326"/>
      </w:tblGrid>
      <w:tr w:rsidR="001B3408" w:rsidRPr="001B3408" w14:paraId="470671BC" w14:textId="77777777" w:rsidTr="001B3408">
        <w:trPr>
          <w:cantSplit/>
          <w:trHeight w:val="395"/>
          <w:tblCellSpacing w:w="28" w:type="dxa"/>
        </w:trPr>
        <w:tc>
          <w:tcPr>
            <w:tcW w:w="765" w:type="dxa"/>
            <w:tcBorders>
              <w:top w:val="nil"/>
              <w:left w:val="nil"/>
              <w:bottom w:val="nil"/>
              <w:right w:val="nil"/>
            </w:tcBorders>
            <w:textDirection w:val="btLr"/>
          </w:tcPr>
          <w:p w14:paraId="0B074BBA" w14:textId="77777777" w:rsidR="001B3408" w:rsidRPr="001B3408" w:rsidRDefault="001B3408" w:rsidP="001B3408">
            <w:pPr>
              <w:jc w:val="center"/>
              <w:rPr>
                <w:rFonts w:ascii="Arial" w:hAnsi="Arial"/>
                <w:b/>
                <w:bCs/>
                <w:color w:val="FFFFFF"/>
                <w:sz w:val="30"/>
                <w:szCs w:val="30"/>
              </w:rPr>
            </w:pPr>
            <w:bookmarkStart w:id="750" w:name="_Toc82274487"/>
            <w:bookmarkEnd w:id="700"/>
          </w:p>
        </w:tc>
        <w:tc>
          <w:tcPr>
            <w:tcW w:w="662" w:type="dxa"/>
            <w:tcBorders>
              <w:top w:val="nil"/>
              <w:left w:val="nil"/>
              <w:bottom w:val="nil"/>
              <w:right w:val="nil"/>
            </w:tcBorders>
          </w:tcPr>
          <w:p w14:paraId="31F0C828" w14:textId="77777777" w:rsidR="001B3408" w:rsidRPr="001B3408" w:rsidRDefault="001B3408" w:rsidP="001B3408">
            <w:pPr>
              <w:jc w:val="center"/>
              <w:rPr>
                <w:rFonts w:ascii="Arial" w:hAnsi="Arial"/>
                <w:b/>
                <w:bCs/>
                <w:color w:val="FFFFFF"/>
                <w:sz w:val="22"/>
                <w:szCs w:val="22"/>
              </w:rPr>
            </w:pPr>
          </w:p>
        </w:tc>
        <w:tc>
          <w:tcPr>
            <w:tcW w:w="2200" w:type="dxa"/>
            <w:tcBorders>
              <w:top w:val="nil"/>
              <w:left w:val="nil"/>
              <w:bottom w:val="nil"/>
              <w:right w:val="nil"/>
            </w:tcBorders>
            <w:shd w:val="clear" w:color="auto" w:fill="E7E6E6"/>
          </w:tcPr>
          <w:p w14:paraId="7D3B7919" w14:textId="77777777" w:rsidR="001B3408" w:rsidRPr="001B3408" w:rsidRDefault="001B3408" w:rsidP="001B3408">
            <w:pPr>
              <w:jc w:val="center"/>
              <w:rPr>
                <w:rFonts w:ascii="Arial" w:hAnsi="Arial"/>
                <w:b/>
                <w:bCs/>
                <w:sz w:val="22"/>
                <w:szCs w:val="22"/>
              </w:rPr>
            </w:pPr>
            <w:r w:rsidRPr="001B3408">
              <w:rPr>
                <w:rFonts w:ascii="Arial" w:hAnsi="Arial"/>
                <w:b/>
                <w:bCs/>
                <w:sz w:val="22"/>
                <w:szCs w:val="22"/>
              </w:rPr>
              <w:t>Trigger</w:t>
            </w:r>
          </w:p>
        </w:tc>
        <w:tc>
          <w:tcPr>
            <w:tcW w:w="3437" w:type="dxa"/>
            <w:gridSpan w:val="2"/>
            <w:tcBorders>
              <w:top w:val="nil"/>
              <w:left w:val="nil"/>
              <w:bottom w:val="nil"/>
              <w:right w:val="nil"/>
            </w:tcBorders>
            <w:shd w:val="clear" w:color="auto" w:fill="E7E6E6"/>
          </w:tcPr>
          <w:p w14:paraId="6DA1BABA" w14:textId="77777777" w:rsidR="001B3408" w:rsidRPr="001B3408" w:rsidRDefault="001B3408" w:rsidP="001B3408">
            <w:pPr>
              <w:jc w:val="center"/>
              <w:rPr>
                <w:rFonts w:ascii="Arial" w:hAnsi="Arial"/>
                <w:b/>
                <w:bCs/>
                <w:sz w:val="22"/>
                <w:szCs w:val="22"/>
              </w:rPr>
            </w:pPr>
            <w:r w:rsidRPr="001B3408">
              <w:rPr>
                <w:rFonts w:ascii="Arial" w:hAnsi="Arial"/>
                <w:b/>
                <w:bCs/>
                <w:sz w:val="22"/>
                <w:szCs w:val="22"/>
              </w:rPr>
              <w:t>Action</w:t>
            </w:r>
          </w:p>
        </w:tc>
        <w:tc>
          <w:tcPr>
            <w:tcW w:w="1242" w:type="dxa"/>
            <w:tcBorders>
              <w:top w:val="nil"/>
              <w:left w:val="nil"/>
              <w:bottom w:val="nil"/>
              <w:right w:val="nil"/>
            </w:tcBorders>
            <w:shd w:val="clear" w:color="auto" w:fill="E7E6E6"/>
          </w:tcPr>
          <w:p w14:paraId="70855B24" w14:textId="77777777" w:rsidR="001B3408" w:rsidRPr="001B3408" w:rsidRDefault="001B3408" w:rsidP="001B3408">
            <w:pPr>
              <w:jc w:val="center"/>
              <w:rPr>
                <w:rFonts w:ascii="Arial" w:hAnsi="Arial"/>
                <w:b/>
                <w:bCs/>
                <w:sz w:val="22"/>
                <w:szCs w:val="22"/>
              </w:rPr>
            </w:pPr>
            <w:r w:rsidRPr="001B3408">
              <w:rPr>
                <w:rFonts w:ascii="Arial" w:hAnsi="Arial"/>
                <w:b/>
                <w:bCs/>
                <w:sz w:val="22"/>
                <w:szCs w:val="22"/>
              </w:rPr>
              <w:t>Control</w:t>
            </w:r>
          </w:p>
        </w:tc>
      </w:tr>
      <w:tr w:rsidR="001B3408" w:rsidRPr="001B3408" w14:paraId="36E68BDD" w14:textId="77777777" w:rsidTr="001B3408">
        <w:trPr>
          <w:cantSplit/>
          <w:trHeight w:val="1134"/>
          <w:tblCellSpacing w:w="28" w:type="dxa"/>
        </w:trPr>
        <w:tc>
          <w:tcPr>
            <w:tcW w:w="765" w:type="dxa"/>
            <w:vMerge w:val="restart"/>
            <w:tcBorders>
              <w:top w:val="single" w:sz="12" w:space="0" w:color="FFC000"/>
              <w:left w:val="single" w:sz="12" w:space="0" w:color="FFC000"/>
              <w:bottom w:val="single" w:sz="12" w:space="0" w:color="FFC000"/>
              <w:right w:val="single" w:sz="12" w:space="0" w:color="FFC000"/>
            </w:tcBorders>
            <w:shd w:val="clear" w:color="auto" w:fill="FFC000"/>
            <w:textDirection w:val="btLr"/>
          </w:tcPr>
          <w:p w14:paraId="5D46044C" w14:textId="77777777" w:rsidR="001B3408" w:rsidRPr="001B3408" w:rsidRDefault="001B3408" w:rsidP="001B3408">
            <w:pPr>
              <w:jc w:val="center"/>
              <w:rPr>
                <w:rFonts w:ascii="Arial" w:hAnsi="Arial"/>
                <w:b/>
                <w:bCs/>
                <w:color w:val="FFFFFF"/>
                <w:sz w:val="30"/>
                <w:szCs w:val="30"/>
              </w:rPr>
            </w:pPr>
            <w:r w:rsidRPr="001B3408">
              <w:rPr>
                <w:rFonts w:ascii="Arial" w:hAnsi="Arial"/>
                <w:b/>
                <w:bCs/>
                <w:color w:val="FFFFFF"/>
                <w:sz w:val="30"/>
                <w:szCs w:val="30"/>
              </w:rPr>
              <w:t>Localised</w:t>
            </w:r>
          </w:p>
        </w:tc>
        <w:tc>
          <w:tcPr>
            <w:tcW w:w="662" w:type="dxa"/>
            <w:tcBorders>
              <w:top w:val="single" w:sz="12" w:space="0" w:color="FFC000"/>
              <w:left w:val="single" w:sz="12" w:space="0" w:color="FFC000"/>
              <w:bottom w:val="single" w:sz="12" w:space="0" w:color="FFC000"/>
              <w:right w:val="single" w:sz="12" w:space="0" w:color="FFC000"/>
            </w:tcBorders>
            <w:shd w:val="clear" w:color="auto" w:fill="FFC000"/>
            <w:textDirection w:val="btLr"/>
          </w:tcPr>
          <w:p w14:paraId="621FD0FE"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Forecast</w:t>
            </w:r>
          </w:p>
        </w:tc>
        <w:tc>
          <w:tcPr>
            <w:tcW w:w="2200" w:type="dxa"/>
            <w:tcBorders>
              <w:top w:val="single" w:sz="12" w:space="0" w:color="FFC000"/>
              <w:left w:val="single" w:sz="12" w:space="0" w:color="FFC000"/>
              <w:bottom w:val="single" w:sz="12" w:space="0" w:color="FFC000"/>
              <w:right w:val="single" w:sz="12" w:space="0" w:color="FFC000"/>
            </w:tcBorders>
          </w:tcPr>
          <w:p w14:paraId="79A18400" w14:textId="77777777" w:rsidR="001B3408" w:rsidRPr="001B3408" w:rsidRDefault="001B3408" w:rsidP="001B3408">
            <w:pPr>
              <w:rPr>
                <w:rFonts w:ascii="Arial" w:hAnsi="Arial"/>
                <w:sz w:val="16"/>
                <w:szCs w:val="16"/>
              </w:rPr>
            </w:pPr>
            <w:r w:rsidRPr="001B3408">
              <w:rPr>
                <w:rFonts w:ascii="Arial" w:hAnsi="Arial"/>
                <w:sz w:val="16"/>
                <w:szCs w:val="16"/>
              </w:rPr>
              <w:t>Weather forecast, market conditions or other risk assessment suggests likelihood of a Level 1 event occurring</w:t>
            </w:r>
          </w:p>
        </w:tc>
        <w:tc>
          <w:tcPr>
            <w:tcW w:w="1788" w:type="dxa"/>
            <w:tcBorders>
              <w:top w:val="single" w:sz="12" w:space="0" w:color="FFC000"/>
              <w:left w:val="single" w:sz="12" w:space="0" w:color="FFC000"/>
              <w:bottom w:val="single" w:sz="12" w:space="0" w:color="FFC000"/>
              <w:right w:val="single" w:sz="12" w:space="0" w:color="FFC000"/>
            </w:tcBorders>
          </w:tcPr>
          <w:p w14:paraId="4451EB23" w14:textId="77777777" w:rsidR="001B3408" w:rsidRPr="001B3408" w:rsidRDefault="001B3408" w:rsidP="001B3408">
            <w:pPr>
              <w:rPr>
                <w:rFonts w:ascii="Arial" w:hAnsi="Arial"/>
                <w:sz w:val="16"/>
                <w:szCs w:val="16"/>
              </w:rPr>
            </w:pPr>
            <w:r w:rsidRPr="001B3408">
              <w:rPr>
                <w:rFonts w:ascii="Arial" w:hAnsi="Arial"/>
                <w:sz w:val="16"/>
                <w:szCs w:val="16"/>
              </w:rPr>
              <w:t xml:space="preserve">AEMO; relevant industry owners/operators </w:t>
            </w:r>
            <w:r w:rsidRPr="001B3408">
              <w:rPr>
                <w:rFonts w:ascii="Arial" w:hAnsi="Arial"/>
                <w:b/>
                <w:bCs/>
                <w:sz w:val="16"/>
                <w:szCs w:val="16"/>
              </w:rPr>
              <w:t>monitor,</w:t>
            </w:r>
            <w:r w:rsidRPr="001B3408">
              <w:rPr>
                <w:rFonts w:ascii="Arial" w:hAnsi="Arial"/>
                <w:sz w:val="16"/>
                <w:szCs w:val="16"/>
              </w:rPr>
              <w:t xml:space="preserve"> respond to risk according to relevant plans  </w:t>
            </w:r>
          </w:p>
        </w:tc>
        <w:tc>
          <w:tcPr>
            <w:tcW w:w="1593" w:type="dxa"/>
            <w:tcBorders>
              <w:top w:val="single" w:sz="12" w:space="0" w:color="FFC000"/>
              <w:left w:val="single" w:sz="12" w:space="0" w:color="FFC000"/>
              <w:bottom w:val="single" w:sz="12" w:space="0" w:color="FFC000"/>
              <w:right w:val="single" w:sz="12" w:space="0" w:color="FFC000"/>
            </w:tcBorders>
          </w:tcPr>
          <w:p w14:paraId="15B6705D" w14:textId="77777777" w:rsidR="001B3408" w:rsidRPr="001B3408" w:rsidRDefault="001B3408" w:rsidP="001B3408">
            <w:pPr>
              <w:rPr>
                <w:rFonts w:ascii="Arial" w:hAnsi="Arial"/>
                <w:sz w:val="16"/>
                <w:szCs w:val="16"/>
              </w:rPr>
            </w:pPr>
            <w:r w:rsidRPr="001B3408">
              <w:rPr>
                <w:rFonts w:ascii="Arial" w:hAnsi="Arial"/>
                <w:sz w:val="16"/>
                <w:szCs w:val="16"/>
              </w:rPr>
              <w:t xml:space="preserve">DELWP monitors; provides subject matter expertise as required. </w:t>
            </w:r>
          </w:p>
        </w:tc>
        <w:tc>
          <w:tcPr>
            <w:tcW w:w="1242" w:type="dxa"/>
            <w:tcBorders>
              <w:top w:val="single" w:sz="12" w:space="0" w:color="FFC000"/>
              <w:left w:val="single" w:sz="12" w:space="0" w:color="FFC000"/>
              <w:bottom w:val="single" w:sz="12" w:space="0" w:color="FFC000"/>
              <w:right w:val="single" w:sz="12" w:space="0" w:color="FFC000"/>
            </w:tcBorders>
          </w:tcPr>
          <w:p w14:paraId="130160AD" w14:textId="77777777" w:rsidR="001B3408" w:rsidRPr="001B3408" w:rsidRDefault="001B3408" w:rsidP="001B3408">
            <w:pPr>
              <w:rPr>
                <w:rFonts w:ascii="Arial" w:hAnsi="Arial"/>
                <w:sz w:val="16"/>
                <w:szCs w:val="16"/>
              </w:rPr>
            </w:pPr>
            <w:r w:rsidRPr="001B3408">
              <w:rPr>
                <w:rFonts w:ascii="Arial" w:hAnsi="Arial"/>
                <w:sz w:val="16"/>
                <w:szCs w:val="16"/>
              </w:rPr>
              <w:t>Business as usual</w:t>
            </w:r>
          </w:p>
        </w:tc>
      </w:tr>
      <w:tr w:rsidR="001B3408" w:rsidRPr="001B3408" w14:paraId="18605760" w14:textId="77777777" w:rsidTr="001B3408">
        <w:trPr>
          <w:cantSplit/>
          <w:trHeight w:val="1134"/>
          <w:tblCellSpacing w:w="28" w:type="dxa"/>
        </w:trPr>
        <w:tc>
          <w:tcPr>
            <w:tcW w:w="765" w:type="dxa"/>
            <w:vMerge/>
            <w:textDirection w:val="btLr"/>
          </w:tcPr>
          <w:p w14:paraId="45906DE8" w14:textId="77777777" w:rsidR="001B3408" w:rsidRPr="001B3408" w:rsidRDefault="001B3408" w:rsidP="001B3408">
            <w:pPr>
              <w:jc w:val="center"/>
              <w:rPr>
                <w:rFonts w:ascii="Arial" w:hAnsi="Arial"/>
                <w:b/>
                <w:bCs/>
                <w:color w:val="FFFFFF"/>
                <w:sz w:val="30"/>
                <w:szCs w:val="30"/>
              </w:rPr>
            </w:pPr>
          </w:p>
        </w:tc>
        <w:tc>
          <w:tcPr>
            <w:tcW w:w="662" w:type="dxa"/>
            <w:tcBorders>
              <w:top w:val="single" w:sz="12" w:space="0" w:color="FFC000"/>
              <w:left w:val="single" w:sz="12" w:space="0" w:color="FFC000"/>
              <w:bottom w:val="single" w:sz="12" w:space="0" w:color="FFC000"/>
              <w:right w:val="single" w:sz="12" w:space="0" w:color="FFC000"/>
            </w:tcBorders>
            <w:shd w:val="clear" w:color="auto" w:fill="FFC000"/>
            <w:textDirection w:val="btLr"/>
          </w:tcPr>
          <w:p w14:paraId="50D54834"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Event</w:t>
            </w:r>
          </w:p>
        </w:tc>
        <w:tc>
          <w:tcPr>
            <w:tcW w:w="2200" w:type="dxa"/>
            <w:tcBorders>
              <w:top w:val="single" w:sz="12" w:space="0" w:color="FFC000"/>
              <w:left w:val="single" w:sz="12" w:space="0" w:color="FFC000"/>
              <w:bottom w:val="single" w:sz="12" w:space="0" w:color="FFC000"/>
              <w:right w:val="single" w:sz="12" w:space="0" w:color="FFC000"/>
            </w:tcBorders>
            <w:shd w:val="clear" w:color="auto" w:fill="FFE599"/>
          </w:tcPr>
          <w:p w14:paraId="213FD473" w14:textId="79E2CD29" w:rsidR="001B3408" w:rsidRPr="001B3408" w:rsidRDefault="001B3408" w:rsidP="001B3408">
            <w:pPr>
              <w:rPr>
                <w:rFonts w:ascii="Arial" w:hAnsi="Arial"/>
                <w:sz w:val="16"/>
                <w:szCs w:val="16"/>
              </w:rPr>
            </w:pPr>
            <w:r w:rsidRPr="001B3408">
              <w:rPr>
                <w:rFonts w:ascii="Arial" w:hAnsi="Arial"/>
                <w:sz w:val="16"/>
                <w:szCs w:val="16"/>
              </w:rPr>
              <w:t>Disruption is localised, small scale and/or very short duration.</w:t>
            </w:r>
            <w:r w:rsidR="0042051B">
              <w:rPr>
                <w:rFonts w:ascii="Arial" w:hAnsi="Arial"/>
                <w:sz w:val="16"/>
                <w:szCs w:val="16"/>
              </w:rPr>
              <w:t xml:space="preserve"> </w:t>
            </w:r>
          </w:p>
        </w:tc>
        <w:tc>
          <w:tcPr>
            <w:tcW w:w="1788" w:type="dxa"/>
            <w:tcBorders>
              <w:top w:val="single" w:sz="12" w:space="0" w:color="FFC000"/>
              <w:left w:val="single" w:sz="12" w:space="0" w:color="FFC000"/>
              <w:bottom w:val="single" w:sz="12" w:space="0" w:color="FFC000"/>
              <w:right w:val="single" w:sz="12" w:space="0" w:color="FFC000"/>
            </w:tcBorders>
            <w:shd w:val="clear" w:color="auto" w:fill="FFE599"/>
          </w:tcPr>
          <w:p w14:paraId="28C60649" w14:textId="77777777" w:rsidR="001B3408" w:rsidRPr="001B3408" w:rsidRDefault="001B3408" w:rsidP="001B3408">
            <w:pPr>
              <w:rPr>
                <w:rFonts w:ascii="Arial" w:hAnsi="Arial"/>
                <w:sz w:val="16"/>
                <w:szCs w:val="16"/>
              </w:rPr>
            </w:pPr>
            <w:r w:rsidRPr="001B3408">
              <w:rPr>
                <w:rFonts w:ascii="Arial" w:hAnsi="Arial"/>
                <w:sz w:val="16"/>
                <w:szCs w:val="16"/>
              </w:rPr>
              <w:t xml:space="preserve">AEMO, relevant industry owner/operator manages, responds </w:t>
            </w:r>
          </w:p>
        </w:tc>
        <w:tc>
          <w:tcPr>
            <w:tcW w:w="1593" w:type="dxa"/>
            <w:tcBorders>
              <w:top w:val="single" w:sz="12" w:space="0" w:color="FFC000"/>
              <w:left w:val="single" w:sz="12" w:space="0" w:color="FFC000"/>
              <w:bottom w:val="single" w:sz="12" w:space="0" w:color="FFC000"/>
              <w:right w:val="single" w:sz="12" w:space="0" w:color="FFC000"/>
            </w:tcBorders>
            <w:shd w:val="clear" w:color="auto" w:fill="FFE599"/>
          </w:tcPr>
          <w:p w14:paraId="4FEBF570" w14:textId="77777777" w:rsidR="001B3408" w:rsidRPr="001B3408" w:rsidRDefault="001B3408" w:rsidP="001B3408">
            <w:pPr>
              <w:rPr>
                <w:rFonts w:ascii="Arial" w:hAnsi="Arial"/>
                <w:sz w:val="16"/>
                <w:szCs w:val="16"/>
              </w:rPr>
            </w:pPr>
            <w:r w:rsidRPr="001B3408">
              <w:rPr>
                <w:rFonts w:ascii="Arial" w:hAnsi="Arial"/>
                <w:sz w:val="16"/>
                <w:szCs w:val="16"/>
              </w:rPr>
              <w:t>DELWP monitors; provides subject matter expertise as required</w:t>
            </w:r>
          </w:p>
        </w:tc>
        <w:tc>
          <w:tcPr>
            <w:tcW w:w="1242" w:type="dxa"/>
            <w:tcBorders>
              <w:top w:val="single" w:sz="12" w:space="0" w:color="FFC000"/>
              <w:left w:val="single" w:sz="12" w:space="0" w:color="FFC000"/>
              <w:bottom w:val="single" w:sz="12" w:space="0" w:color="FFC000"/>
              <w:right w:val="single" w:sz="12" w:space="0" w:color="FFC000"/>
            </w:tcBorders>
            <w:shd w:val="clear" w:color="auto" w:fill="FFE599"/>
          </w:tcPr>
          <w:p w14:paraId="2A339824" w14:textId="77777777" w:rsidR="001B3408" w:rsidRPr="001B3408" w:rsidRDefault="001B3408" w:rsidP="001B3408">
            <w:pPr>
              <w:rPr>
                <w:rFonts w:ascii="Arial" w:hAnsi="Arial"/>
                <w:sz w:val="16"/>
                <w:szCs w:val="16"/>
              </w:rPr>
            </w:pPr>
            <w:r w:rsidRPr="001B3408">
              <w:rPr>
                <w:rFonts w:ascii="Arial" w:hAnsi="Arial"/>
                <w:sz w:val="16"/>
                <w:szCs w:val="16"/>
              </w:rPr>
              <w:t>Business as usual</w:t>
            </w:r>
          </w:p>
        </w:tc>
      </w:tr>
      <w:tr w:rsidR="001B3408" w:rsidRPr="001B3408" w14:paraId="4645130E" w14:textId="77777777" w:rsidTr="004B1CAC">
        <w:trPr>
          <w:cantSplit/>
          <w:trHeight w:val="1134"/>
          <w:tblCellSpacing w:w="28" w:type="dxa"/>
        </w:trPr>
        <w:tc>
          <w:tcPr>
            <w:tcW w:w="765" w:type="dxa"/>
            <w:vMerge w:val="restart"/>
            <w:tcBorders>
              <w:top w:val="single" w:sz="12" w:space="0" w:color="FF9900"/>
              <w:left w:val="single" w:sz="12" w:space="0" w:color="FF9900"/>
              <w:bottom w:val="single" w:sz="12" w:space="0" w:color="FF9900"/>
              <w:right w:val="single" w:sz="12" w:space="0" w:color="FF9900"/>
            </w:tcBorders>
            <w:shd w:val="clear" w:color="auto" w:fill="FF9900"/>
            <w:textDirection w:val="btLr"/>
          </w:tcPr>
          <w:p w14:paraId="4304BD7D" w14:textId="77777777" w:rsidR="001B3408" w:rsidRPr="001B3408" w:rsidRDefault="001B3408" w:rsidP="001B3408">
            <w:pPr>
              <w:jc w:val="center"/>
              <w:rPr>
                <w:rFonts w:ascii="Arial" w:hAnsi="Arial"/>
                <w:b/>
                <w:bCs/>
                <w:color w:val="FFFFFF"/>
                <w:sz w:val="30"/>
                <w:szCs w:val="30"/>
              </w:rPr>
            </w:pPr>
            <w:r w:rsidRPr="001B3408">
              <w:rPr>
                <w:rFonts w:ascii="Arial" w:hAnsi="Arial"/>
                <w:b/>
                <w:bCs/>
                <w:color w:val="FFFFFF"/>
                <w:sz w:val="30"/>
                <w:szCs w:val="30"/>
              </w:rPr>
              <w:t>Limited</w:t>
            </w:r>
          </w:p>
        </w:tc>
        <w:tc>
          <w:tcPr>
            <w:tcW w:w="662" w:type="dxa"/>
            <w:tcBorders>
              <w:top w:val="single" w:sz="12" w:space="0" w:color="FF9900"/>
              <w:left w:val="single" w:sz="12" w:space="0" w:color="FF9900"/>
              <w:bottom w:val="single" w:sz="12" w:space="0" w:color="FF9900"/>
              <w:right w:val="single" w:sz="12" w:space="0" w:color="FF9900"/>
            </w:tcBorders>
            <w:shd w:val="clear" w:color="auto" w:fill="FF9900"/>
            <w:textDirection w:val="btLr"/>
          </w:tcPr>
          <w:p w14:paraId="27E6466B"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Forecast</w:t>
            </w:r>
          </w:p>
        </w:tc>
        <w:tc>
          <w:tcPr>
            <w:tcW w:w="2200" w:type="dxa"/>
            <w:tcBorders>
              <w:top w:val="single" w:sz="12" w:space="0" w:color="FF9900"/>
              <w:left w:val="single" w:sz="12" w:space="0" w:color="FF9900"/>
              <w:bottom w:val="single" w:sz="12" w:space="0" w:color="FF9900"/>
              <w:right w:val="single" w:sz="12" w:space="0" w:color="FF9900"/>
            </w:tcBorders>
          </w:tcPr>
          <w:p w14:paraId="482840D3" w14:textId="77777777" w:rsidR="001B3408" w:rsidRPr="001B3408" w:rsidRDefault="001B3408" w:rsidP="001B3408">
            <w:pPr>
              <w:rPr>
                <w:rFonts w:ascii="Arial" w:hAnsi="Arial"/>
                <w:sz w:val="16"/>
                <w:szCs w:val="16"/>
              </w:rPr>
            </w:pPr>
            <w:r w:rsidRPr="001B3408">
              <w:rPr>
                <w:rFonts w:ascii="Arial" w:hAnsi="Arial"/>
                <w:sz w:val="16"/>
                <w:szCs w:val="16"/>
              </w:rPr>
              <w:t>Weather forecast, market conditions or other risk assessment suggests likelihood of a limited impact emergency occurring</w:t>
            </w:r>
          </w:p>
        </w:tc>
        <w:tc>
          <w:tcPr>
            <w:tcW w:w="1788" w:type="dxa"/>
            <w:tcBorders>
              <w:top w:val="single" w:sz="12" w:space="0" w:color="FF9900"/>
              <w:left w:val="single" w:sz="12" w:space="0" w:color="FF9900"/>
              <w:bottom w:val="single" w:sz="12" w:space="0" w:color="FF9900"/>
              <w:right w:val="single" w:sz="12" w:space="0" w:color="FF9900"/>
            </w:tcBorders>
          </w:tcPr>
          <w:p w14:paraId="4B4BC335" w14:textId="77777777" w:rsidR="001B3408" w:rsidRPr="001B3408" w:rsidRDefault="001B3408" w:rsidP="001B3408">
            <w:pPr>
              <w:rPr>
                <w:rFonts w:ascii="Arial" w:hAnsi="Arial"/>
                <w:sz w:val="16"/>
                <w:szCs w:val="16"/>
              </w:rPr>
            </w:pPr>
            <w:r w:rsidRPr="001B3408">
              <w:rPr>
                <w:rFonts w:ascii="Arial" w:hAnsi="Arial"/>
                <w:sz w:val="16"/>
                <w:szCs w:val="16"/>
              </w:rPr>
              <w:t>AEMO; relevant industry owners/operators monitor, respond to risk according to relevant plans</w:t>
            </w:r>
          </w:p>
        </w:tc>
        <w:tc>
          <w:tcPr>
            <w:tcW w:w="1593" w:type="dxa"/>
            <w:tcBorders>
              <w:top w:val="single" w:sz="12" w:space="0" w:color="FF9900"/>
              <w:left w:val="single" w:sz="12" w:space="0" w:color="FF9900"/>
              <w:bottom w:val="single" w:sz="12" w:space="0" w:color="FF9900"/>
              <w:right w:val="single" w:sz="12" w:space="0" w:color="FF9900"/>
            </w:tcBorders>
          </w:tcPr>
          <w:p w14:paraId="348C98F4" w14:textId="77777777" w:rsidR="001B3408" w:rsidRPr="001B3408" w:rsidRDefault="001B3408" w:rsidP="001B3408">
            <w:pPr>
              <w:rPr>
                <w:rFonts w:ascii="Arial" w:hAnsi="Arial"/>
                <w:sz w:val="16"/>
                <w:szCs w:val="16"/>
              </w:rPr>
            </w:pPr>
            <w:r w:rsidRPr="001B3408">
              <w:rPr>
                <w:rFonts w:ascii="Arial" w:hAnsi="Arial"/>
                <w:sz w:val="16"/>
                <w:szCs w:val="16"/>
              </w:rPr>
              <w:t>DELWP monitors; provides subject matter expertise as required</w:t>
            </w:r>
          </w:p>
        </w:tc>
        <w:tc>
          <w:tcPr>
            <w:tcW w:w="1242" w:type="dxa"/>
            <w:tcBorders>
              <w:top w:val="single" w:sz="12" w:space="0" w:color="FF9900"/>
              <w:left w:val="single" w:sz="12" w:space="0" w:color="FF9900"/>
              <w:bottom w:val="single" w:sz="12" w:space="0" w:color="FF9900"/>
              <w:right w:val="single" w:sz="12" w:space="0" w:color="FF9900"/>
            </w:tcBorders>
          </w:tcPr>
          <w:p w14:paraId="10D4942C" w14:textId="77777777" w:rsidR="001B3408" w:rsidRPr="001B3408" w:rsidRDefault="001B3408" w:rsidP="001B3408">
            <w:pPr>
              <w:rPr>
                <w:rFonts w:ascii="Arial" w:hAnsi="Arial"/>
                <w:sz w:val="16"/>
                <w:szCs w:val="16"/>
              </w:rPr>
            </w:pPr>
            <w:r w:rsidRPr="001B3408">
              <w:rPr>
                <w:rFonts w:ascii="Arial" w:hAnsi="Arial"/>
                <w:sz w:val="16"/>
                <w:szCs w:val="16"/>
              </w:rPr>
              <w:t>Business as usual</w:t>
            </w:r>
          </w:p>
        </w:tc>
      </w:tr>
      <w:tr w:rsidR="001B3408" w:rsidRPr="001B3408" w14:paraId="5FC144D4" w14:textId="77777777" w:rsidTr="004B1CAC">
        <w:trPr>
          <w:cantSplit/>
          <w:trHeight w:val="1134"/>
          <w:tblCellSpacing w:w="28" w:type="dxa"/>
        </w:trPr>
        <w:tc>
          <w:tcPr>
            <w:tcW w:w="765" w:type="dxa"/>
            <w:vMerge/>
            <w:textDirection w:val="btLr"/>
          </w:tcPr>
          <w:p w14:paraId="62F8ED54" w14:textId="77777777" w:rsidR="001B3408" w:rsidRPr="001B3408" w:rsidRDefault="001B3408" w:rsidP="001B3408">
            <w:pPr>
              <w:jc w:val="center"/>
              <w:rPr>
                <w:rFonts w:ascii="Arial" w:hAnsi="Arial"/>
                <w:b/>
                <w:bCs/>
                <w:color w:val="FFFFFF"/>
                <w:sz w:val="30"/>
                <w:szCs w:val="30"/>
              </w:rPr>
            </w:pPr>
          </w:p>
        </w:tc>
        <w:tc>
          <w:tcPr>
            <w:tcW w:w="662" w:type="dxa"/>
            <w:tcBorders>
              <w:top w:val="single" w:sz="12" w:space="0" w:color="FF9900"/>
              <w:left w:val="single" w:sz="12" w:space="0" w:color="FF9900"/>
              <w:bottom w:val="single" w:sz="12" w:space="0" w:color="FF9900"/>
              <w:right w:val="single" w:sz="12" w:space="0" w:color="FF9900"/>
            </w:tcBorders>
            <w:shd w:val="clear" w:color="auto" w:fill="FF9900"/>
            <w:textDirection w:val="btLr"/>
          </w:tcPr>
          <w:p w14:paraId="02B5A947"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Event</w:t>
            </w:r>
          </w:p>
        </w:tc>
        <w:tc>
          <w:tcPr>
            <w:tcW w:w="2200" w:type="dxa"/>
            <w:tcBorders>
              <w:top w:val="single" w:sz="12" w:space="0" w:color="FF9900"/>
              <w:left w:val="single" w:sz="12" w:space="0" w:color="FF9900"/>
              <w:bottom w:val="single" w:sz="12" w:space="0" w:color="FF9900"/>
              <w:right w:val="single" w:sz="12" w:space="0" w:color="FF9900"/>
            </w:tcBorders>
            <w:shd w:val="clear" w:color="auto" w:fill="FFC775"/>
          </w:tcPr>
          <w:p w14:paraId="0E2BC2A4" w14:textId="77777777" w:rsidR="001B3408" w:rsidRPr="001B3408" w:rsidRDefault="001B3408" w:rsidP="001B3408">
            <w:pPr>
              <w:rPr>
                <w:rFonts w:ascii="Arial" w:hAnsi="Arial"/>
                <w:sz w:val="16"/>
                <w:szCs w:val="16"/>
              </w:rPr>
            </w:pPr>
            <w:r w:rsidRPr="001B3408">
              <w:rPr>
                <w:rFonts w:ascii="Arial" w:hAnsi="Arial"/>
                <w:sz w:val="16"/>
                <w:szCs w:val="16"/>
              </w:rPr>
              <w:t>Disruption has a limited geographic, economic, environmental or population impact and/or short duration.</w:t>
            </w:r>
          </w:p>
        </w:tc>
        <w:tc>
          <w:tcPr>
            <w:tcW w:w="1788" w:type="dxa"/>
            <w:tcBorders>
              <w:top w:val="single" w:sz="12" w:space="0" w:color="FF9900"/>
              <w:left w:val="single" w:sz="12" w:space="0" w:color="FF9900"/>
              <w:bottom w:val="single" w:sz="12" w:space="0" w:color="FF9900"/>
              <w:right w:val="single" w:sz="12" w:space="0" w:color="FF9900"/>
            </w:tcBorders>
            <w:shd w:val="clear" w:color="auto" w:fill="FFC775"/>
          </w:tcPr>
          <w:p w14:paraId="3FD6C9C0" w14:textId="77777777" w:rsidR="001B3408" w:rsidRPr="001B3408" w:rsidRDefault="001B3408" w:rsidP="001B3408">
            <w:pPr>
              <w:rPr>
                <w:rFonts w:ascii="Arial" w:hAnsi="Arial"/>
                <w:sz w:val="16"/>
                <w:szCs w:val="16"/>
              </w:rPr>
            </w:pPr>
            <w:r w:rsidRPr="001B3408">
              <w:rPr>
                <w:rFonts w:ascii="Arial" w:hAnsi="Arial"/>
                <w:sz w:val="16"/>
                <w:szCs w:val="16"/>
              </w:rPr>
              <w:t xml:space="preserve">AEMO; industry owners/operators manage, respond  </w:t>
            </w:r>
          </w:p>
        </w:tc>
        <w:tc>
          <w:tcPr>
            <w:tcW w:w="1593" w:type="dxa"/>
            <w:tcBorders>
              <w:top w:val="single" w:sz="12" w:space="0" w:color="FF9900"/>
              <w:left w:val="single" w:sz="12" w:space="0" w:color="FF9900"/>
              <w:bottom w:val="single" w:sz="12" w:space="0" w:color="FF9900"/>
              <w:right w:val="single" w:sz="12" w:space="0" w:color="FF9900"/>
            </w:tcBorders>
            <w:shd w:val="clear" w:color="auto" w:fill="FFC775"/>
          </w:tcPr>
          <w:p w14:paraId="2E068FC3" w14:textId="77777777" w:rsidR="001B3408" w:rsidRPr="001B3408" w:rsidRDefault="001B3408" w:rsidP="001B3408">
            <w:pPr>
              <w:rPr>
                <w:rFonts w:ascii="Arial" w:hAnsi="Arial"/>
                <w:sz w:val="16"/>
                <w:szCs w:val="16"/>
              </w:rPr>
            </w:pPr>
            <w:r w:rsidRPr="001B3408">
              <w:rPr>
                <w:rFonts w:ascii="Arial" w:hAnsi="Arial"/>
                <w:sz w:val="16"/>
                <w:szCs w:val="16"/>
              </w:rPr>
              <w:t>DELWP monitors; provides subject matter expertise as required; resources available if event escalates</w:t>
            </w:r>
            <w:r w:rsidRPr="001B3408" w:rsidDel="004E356C">
              <w:rPr>
                <w:rFonts w:ascii="Arial" w:hAnsi="Arial"/>
                <w:sz w:val="16"/>
                <w:szCs w:val="16"/>
              </w:rPr>
              <w:t xml:space="preserve"> </w:t>
            </w:r>
          </w:p>
        </w:tc>
        <w:tc>
          <w:tcPr>
            <w:tcW w:w="1242" w:type="dxa"/>
            <w:tcBorders>
              <w:top w:val="single" w:sz="12" w:space="0" w:color="FF9900"/>
              <w:left w:val="single" w:sz="12" w:space="0" w:color="FF9900"/>
              <w:bottom w:val="single" w:sz="12" w:space="0" w:color="FF9900"/>
              <w:right w:val="single" w:sz="12" w:space="0" w:color="FF9900"/>
            </w:tcBorders>
            <w:shd w:val="clear" w:color="auto" w:fill="FFC775"/>
          </w:tcPr>
          <w:p w14:paraId="4CC5EA7B" w14:textId="77777777" w:rsidR="001B3408" w:rsidRPr="001B3408" w:rsidRDefault="001B3408" w:rsidP="001B3408">
            <w:pPr>
              <w:rPr>
                <w:rFonts w:ascii="Arial" w:hAnsi="Arial"/>
                <w:sz w:val="16"/>
                <w:szCs w:val="16"/>
              </w:rPr>
            </w:pPr>
            <w:r w:rsidRPr="001B3408">
              <w:rPr>
                <w:rFonts w:ascii="Arial" w:hAnsi="Arial"/>
                <w:sz w:val="16"/>
                <w:szCs w:val="16"/>
              </w:rPr>
              <w:t>Business as usual</w:t>
            </w:r>
          </w:p>
        </w:tc>
      </w:tr>
      <w:tr w:rsidR="001B3408" w:rsidRPr="001B3408" w14:paraId="33AF8E65" w14:textId="77777777" w:rsidTr="004B1CAC">
        <w:trPr>
          <w:cantSplit/>
          <w:trHeight w:val="495"/>
          <w:tblCellSpacing w:w="28" w:type="dxa"/>
        </w:trPr>
        <w:tc>
          <w:tcPr>
            <w:tcW w:w="8530" w:type="dxa"/>
            <w:gridSpan w:val="6"/>
            <w:tcBorders>
              <w:top w:val="single" w:sz="12" w:space="0" w:color="FF0000"/>
              <w:left w:val="single" w:sz="12" w:space="0" w:color="FF0000"/>
              <w:bottom w:val="single" w:sz="12" w:space="0" w:color="FF0000"/>
              <w:right w:val="single" w:sz="12" w:space="0" w:color="FF0000"/>
            </w:tcBorders>
            <w:shd w:val="clear" w:color="auto" w:fill="FFAFAF"/>
            <w:vAlign w:val="center"/>
          </w:tcPr>
          <w:p w14:paraId="147A522F" w14:textId="77777777" w:rsidR="001B3408" w:rsidRPr="001B3408" w:rsidRDefault="001B3408" w:rsidP="001B3408">
            <w:pPr>
              <w:jc w:val="center"/>
              <w:rPr>
                <w:rFonts w:ascii="Arial" w:hAnsi="Arial"/>
                <w:b/>
                <w:bCs/>
                <w:color w:val="FFFFFF"/>
                <w:sz w:val="30"/>
                <w:szCs w:val="30"/>
              </w:rPr>
            </w:pPr>
            <w:r w:rsidRPr="001B3408">
              <w:rPr>
                <w:rFonts w:ascii="Arial" w:hAnsi="Arial"/>
                <w:b/>
                <w:bCs/>
                <w:color w:val="FFFFFF"/>
                <w:sz w:val="30"/>
                <w:szCs w:val="30"/>
              </w:rPr>
              <w:t>Class 2 energy emergency</w:t>
            </w:r>
          </w:p>
        </w:tc>
      </w:tr>
      <w:tr w:rsidR="001B3408" w:rsidRPr="001B3408" w14:paraId="03616B59" w14:textId="77777777" w:rsidTr="004B1CAC">
        <w:trPr>
          <w:cantSplit/>
          <w:trHeight w:val="1134"/>
          <w:tblCellSpacing w:w="28" w:type="dxa"/>
        </w:trPr>
        <w:tc>
          <w:tcPr>
            <w:tcW w:w="765" w:type="dxa"/>
            <w:vMerge w:val="restart"/>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70F690CE" w14:textId="77777777" w:rsidR="001B3408" w:rsidRPr="001B3408" w:rsidRDefault="001B3408" w:rsidP="001B3408">
            <w:pPr>
              <w:jc w:val="center"/>
              <w:rPr>
                <w:rFonts w:ascii="Arial" w:hAnsi="Arial"/>
                <w:b/>
                <w:bCs/>
                <w:color w:val="FFFFFF"/>
                <w:sz w:val="30"/>
                <w:szCs w:val="30"/>
              </w:rPr>
            </w:pPr>
            <w:r w:rsidRPr="001B3408">
              <w:rPr>
                <w:rFonts w:ascii="Arial" w:hAnsi="Arial"/>
                <w:b/>
                <w:bCs/>
                <w:color w:val="FFFFFF"/>
                <w:sz w:val="30"/>
                <w:szCs w:val="30"/>
              </w:rPr>
              <w:t>Major</w:t>
            </w:r>
          </w:p>
        </w:tc>
        <w:tc>
          <w:tcPr>
            <w:tcW w:w="662"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3E1E200E"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Forecast</w:t>
            </w:r>
          </w:p>
        </w:tc>
        <w:tc>
          <w:tcPr>
            <w:tcW w:w="2200" w:type="dxa"/>
            <w:tcBorders>
              <w:top w:val="single" w:sz="12" w:space="0" w:color="FF0000"/>
              <w:left w:val="single" w:sz="12" w:space="0" w:color="FF0000"/>
              <w:bottom w:val="single" w:sz="12" w:space="0" w:color="FF0000"/>
              <w:right w:val="single" w:sz="12" w:space="0" w:color="FF0000"/>
            </w:tcBorders>
          </w:tcPr>
          <w:p w14:paraId="24C07E3F" w14:textId="77777777" w:rsidR="001B3408" w:rsidRPr="001B3408" w:rsidRDefault="001B3408" w:rsidP="001B3408">
            <w:pPr>
              <w:rPr>
                <w:rFonts w:ascii="Arial" w:hAnsi="Arial"/>
                <w:sz w:val="16"/>
                <w:szCs w:val="16"/>
              </w:rPr>
            </w:pPr>
            <w:r w:rsidRPr="001B3408">
              <w:rPr>
                <w:rFonts w:ascii="Arial" w:hAnsi="Arial"/>
                <w:sz w:val="16"/>
                <w:szCs w:val="16"/>
              </w:rPr>
              <w:t>Weather forecast, market conditions or other risk assessment suggests a likelihood of a major emergency event occurring.</w:t>
            </w:r>
          </w:p>
        </w:tc>
        <w:tc>
          <w:tcPr>
            <w:tcW w:w="1788" w:type="dxa"/>
            <w:tcBorders>
              <w:top w:val="single" w:sz="12" w:space="0" w:color="FF0000"/>
              <w:left w:val="single" w:sz="12" w:space="0" w:color="FF0000"/>
              <w:bottom w:val="single" w:sz="12" w:space="0" w:color="FF0000"/>
              <w:right w:val="single" w:sz="12" w:space="0" w:color="FF0000"/>
            </w:tcBorders>
          </w:tcPr>
          <w:p w14:paraId="07B80378" w14:textId="77777777" w:rsidR="001B3408" w:rsidRPr="001B3408" w:rsidRDefault="001B3408" w:rsidP="001B3408">
            <w:pPr>
              <w:rPr>
                <w:rFonts w:ascii="Arial" w:hAnsi="Arial"/>
                <w:sz w:val="16"/>
                <w:szCs w:val="16"/>
              </w:rPr>
            </w:pPr>
            <w:r w:rsidRPr="001B3408">
              <w:rPr>
                <w:rFonts w:ascii="Arial" w:hAnsi="Arial"/>
                <w:sz w:val="16"/>
                <w:szCs w:val="16"/>
              </w:rPr>
              <w:t xml:space="preserve">AEMO; industry owners/operators monitor; E-EMLO in place  </w:t>
            </w:r>
          </w:p>
        </w:tc>
        <w:tc>
          <w:tcPr>
            <w:tcW w:w="1593" w:type="dxa"/>
            <w:tcBorders>
              <w:top w:val="single" w:sz="12" w:space="0" w:color="FF0000"/>
              <w:left w:val="single" w:sz="12" w:space="0" w:color="FF0000"/>
              <w:bottom w:val="single" w:sz="12" w:space="0" w:color="FF0000"/>
              <w:right w:val="single" w:sz="12" w:space="0" w:color="FF0000"/>
            </w:tcBorders>
          </w:tcPr>
          <w:p w14:paraId="3969B822" w14:textId="77777777" w:rsidR="001B3408" w:rsidRPr="001B3408" w:rsidRDefault="001B3408" w:rsidP="001B3408">
            <w:pPr>
              <w:rPr>
                <w:rFonts w:ascii="Arial" w:hAnsi="Arial"/>
                <w:sz w:val="16"/>
                <w:szCs w:val="16"/>
              </w:rPr>
            </w:pPr>
            <w:r w:rsidRPr="001B3408">
              <w:rPr>
                <w:rFonts w:ascii="Arial" w:hAnsi="Arial"/>
                <w:sz w:val="16"/>
                <w:szCs w:val="16"/>
              </w:rPr>
              <w:t>DELWP Energy Emergency cell activated (readiness)</w:t>
            </w:r>
          </w:p>
        </w:tc>
        <w:tc>
          <w:tcPr>
            <w:tcW w:w="1242" w:type="dxa"/>
            <w:tcBorders>
              <w:top w:val="single" w:sz="12" w:space="0" w:color="FF0000"/>
              <w:left w:val="single" w:sz="12" w:space="0" w:color="FF0000"/>
              <w:bottom w:val="single" w:sz="12" w:space="0" w:color="FF0000"/>
              <w:right w:val="single" w:sz="12" w:space="0" w:color="FF0000"/>
            </w:tcBorders>
          </w:tcPr>
          <w:p w14:paraId="27C9CA44" w14:textId="77777777" w:rsidR="001B3408" w:rsidRPr="001B3408" w:rsidRDefault="001B3408" w:rsidP="001B3408">
            <w:pPr>
              <w:rPr>
                <w:rFonts w:ascii="Arial" w:hAnsi="Arial"/>
                <w:sz w:val="16"/>
                <w:szCs w:val="16"/>
              </w:rPr>
            </w:pPr>
            <w:r w:rsidRPr="001B3408">
              <w:rPr>
                <w:rFonts w:ascii="Arial" w:hAnsi="Arial"/>
                <w:sz w:val="16"/>
                <w:szCs w:val="16"/>
              </w:rPr>
              <w:t>DEWLP is control agency; State Controller – Energy may be appointed</w:t>
            </w:r>
          </w:p>
        </w:tc>
      </w:tr>
      <w:tr w:rsidR="001B3408" w:rsidRPr="001B3408" w14:paraId="749F14F0" w14:textId="77777777" w:rsidTr="004B1CAC">
        <w:trPr>
          <w:cantSplit/>
          <w:trHeight w:val="1134"/>
          <w:tblCellSpacing w:w="28" w:type="dxa"/>
        </w:trPr>
        <w:tc>
          <w:tcPr>
            <w:tcW w:w="765" w:type="dxa"/>
            <w:vMerge/>
            <w:textDirection w:val="btLr"/>
          </w:tcPr>
          <w:p w14:paraId="4B5FE43D" w14:textId="77777777" w:rsidR="001B3408" w:rsidRPr="001B3408" w:rsidRDefault="001B3408" w:rsidP="001B3408">
            <w:pPr>
              <w:jc w:val="center"/>
              <w:rPr>
                <w:rFonts w:ascii="Arial" w:hAnsi="Arial"/>
                <w:b/>
                <w:bCs/>
                <w:color w:val="FFFFFF"/>
                <w:sz w:val="30"/>
                <w:szCs w:val="30"/>
              </w:rPr>
            </w:pPr>
          </w:p>
        </w:tc>
        <w:tc>
          <w:tcPr>
            <w:tcW w:w="662"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38C3C6C3" w14:textId="77777777" w:rsidR="001B3408" w:rsidRPr="001B3408" w:rsidRDefault="001B3408" w:rsidP="001B3408">
            <w:pPr>
              <w:jc w:val="center"/>
              <w:rPr>
                <w:rFonts w:ascii="Arial" w:hAnsi="Arial"/>
                <w:b/>
                <w:bCs/>
                <w:color w:val="FFFFFF"/>
                <w:sz w:val="22"/>
                <w:szCs w:val="22"/>
              </w:rPr>
            </w:pPr>
            <w:r w:rsidRPr="001B3408">
              <w:rPr>
                <w:rFonts w:ascii="Arial" w:hAnsi="Arial"/>
                <w:b/>
                <w:bCs/>
                <w:color w:val="FFFFFF"/>
                <w:sz w:val="22"/>
                <w:szCs w:val="22"/>
              </w:rPr>
              <w:t>Event</w:t>
            </w:r>
          </w:p>
        </w:tc>
        <w:tc>
          <w:tcPr>
            <w:tcW w:w="2200" w:type="dxa"/>
            <w:tcBorders>
              <w:top w:val="single" w:sz="12" w:space="0" w:color="FF0000"/>
              <w:left w:val="single" w:sz="12" w:space="0" w:color="FF0000"/>
              <w:bottom w:val="single" w:sz="12" w:space="0" w:color="FF0000"/>
              <w:right w:val="single" w:sz="12" w:space="0" w:color="FF0000"/>
            </w:tcBorders>
            <w:shd w:val="clear" w:color="auto" w:fill="FFAFAF"/>
          </w:tcPr>
          <w:p w14:paraId="49ACEF12" w14:textId="77777777" w:rsidR="001B3408" w:rsidRPr="001B3408" w:rsidRDefault="001B3408" w:rsidP="001B3408">
            <w:pPr>
              <w:rPr>
                <w:rFonts w:ascii="Arial" w:hAnsi="Arial"/>
                <w:sz w:val="22"/>
                <w:szCs w:val="24"/>
              </w:rPr>
            </w:pPr>
            <w:r w:rsidRPr="001B3408">
              <w:rPr>
                <w:rFonts w:ascii="Arial" w:hAnsi="Arial"/>
                <w:sz w:val="16"/>
                <w:szCs w:val="16"/>
              </w:rPr>
              <w:t xml:space="preserve">Disruption has occurred that is widespread or complex; with the potential to: cause loss of life, or extensive damage to property, </w:t>
            </w:r>
            <w:proofErr w:type="gramStart"/>
            <w:r w:rsidRPr="001B3408">
              <w:rPr>
                <w:rFonts w:ascii="Arial" w:hAnsi="Arial"/>
                <w:sz w:val="16"/>
                <w:szCs w:val="16"/>
              </w:rPr>
              <w:t>infrastructure</w:t>
            </w:r>
            <w:proofErr w:type="gramEnd"/>
            <w:r w:rsidRPr="001B3408">
              <w:rPr>
                <w:rFonts w:ascii="Arial" w:hAnsi="Arial"/>
                <w:sz w:val="16"/>
                <w:szCs w:val="16"/>
              </w:rPr>
              <w:t xml:space="preserve"> or the environment; or have significant adverse impact on the community, or part of the community; or require the involvement of two or more agencies to manage the emergency.</w:t>
            </w:r>
          </w:p>
        </w:tc>
        <w:tc>
          <w:tcPr>
            <w:tcW w:w="1788" w:type="dxa"/>
            <w:tcBorders>
              <w:top w:val="single" w:sz="12" w:space="0" w:color="FF0000"/>
              <w:left w:val="single" w:sz="12" w:space="0" w:color="FF0000"/>
              <w:bottom w:val="single" w:sz="12" w:space="0" w:color="FF0000"/>
              <w:right w:val="single" w:sz="12" w:space="0" w:color="FF0000"/>
            </w:tcBorders>
            <w:shd w:val="clear" w:color="auto" w:fill="FFAFAF"/>
          </w:tcPr>
          <w:p w14:paraId="0A5C6347" w14:textId="77777777" w:rsidR="001B3408" w:rsidRPr="001B3408" w:rsidRDefault="001B3408" w:rsidP="001B3408">
            <w:pPr>
              <w:rPr>
                <w:rFonts w:ascii="Arial" w:hAnsi="Arial"/>
                <w:sz w:val="16"/>
                <w:szCs w:val="16"/>
              </w:rPr>
            </w:pPr>
            <w:r w:rsidRPr="001B3408">
              <w:rPr>
                <w:rFonts w:ascii="Arial" w:hAnsi="Arial"/>
                <w:sz w:val="16"/>
                <w:szCs w:val="16"/>
              </w:rPr>
              <w:t xml:space="preserve">AEMO; industry owners/operators manage, respond. </w:t>
            </w:r>
          </w:p>
          <w:p w14:paraId="15595730" w14:textId="77777777" w:rsidR="001B3408" w:rsidRPr="001B3408" w:rsidRDefault="001B3408" w:rsidP="001B3408">
            <w:pPr>
              <w:rPr>
                <w:rFonts w:ascii="Arial" w:hAnsi="Arial"/>
                <w:sz w:val="16"/>
                <w:szCs w:val="16"/>
              </w:rPr>
            </w:pPr>
            <w:r w:rsidRPr="001B3408">
              <w:rPr>
                <w:rFonts w:ascii="Arial" w:hAnsi="Arial"/>
                <w:sz w:val="16"/>
                <w:szCs w:val="16"/>
              </w:rPr>
              <w:t>E-EMLO in place at state, regional and/or incident tier.</w:t>
            </w:r>
          </w:p>
        </w:tc>
        <w:tc>
          <w:tcPr>
            <w:tcW w:w="1593" w:type="dxa"/>
            <w:tcBorders>
              <w:top w:val="single" w:sz="12" w:space="0" w:color="FF0000"/>
              <w:left w:val="single" w:sz="12" w:space="0" w:color="FF0000"/>
              <w:bottom w:val="single" w:sz="12" w:space="0" w:color="FF0000"/>
              <w:right w:val="single" w:sz="12" w:space="0" w:color="FF0000"/>
            </w:tcBorders>
            <w:shd w:val="clear" w:color="auto" w:fill="FFAFAF"/>
          </w:tcPr>
          <w:p w14:paraId="1F728F5A" w14:textId="77777777" w:rsidR="001B3408" w:rsidRPr="001B3408" w:rsidRDefault="001B3408" w:rsidP="001B3408">
            <w:pPr>
              <w:rPr>
                <w:rFonts w:ascii="Arial" w:hAnsi="Arial"/>
                <w:sz w:val="16"/>
                <w:szCs w:val="16"/>
              </w:rPr>
            </w:pPr>
            <w:r w:rsidRPr="001B3408">
              <w:rPr>
                <w:rFonts w:ascii="Arial" w:hAnsi="Arial"/>
                <w:sz w:val="16"/>
                <w:szCs w:val="16"/>
              </w:rPr>
              <w:t xml:space="preserve">DELWP Energy </w:t>
            </w:r>
          </w:p>
          <w:p w14:paraId="08F22B0B" w14:textId="77777777" w:rsidR="001B3408" w:rsidRPr="001B3408" w:rsidRDefault="001B3408" w:rsidP="001B3408">
            <w:pPr>
              <w:rPr>
                <w:rFonts w:ascii="Arial" w:hAnsi="Arial"/>
                <w:sz w:val="16"/>
                <w:szCs w:val="16"/>
              </w:rPr>
            </w:pPr>
            <w:r w:rsidRPr="001B3408">
              <w:rPr>
                <w:rFonts w:ascii="Arial" w:hAnsi="Arial"/>
                <w:sz w:val="16"/>
                <w:szCs w:val="16"/>
              </w:rPr>
              <w:t>Emergency cell activated (response and relief)</w:t>
            </w:r>
          </w:p>
        </w:tc>
        <w:tc>
          <w:tcPr>
            <w:tcW w:w="1242" w:type="dxa"/>
            <w:tcBorders>
              <w:top w:val="single" w:sz="12" w:space="0" w:color="FF0000"/>
              <w:left w:val="single" w:sz="12" w:space="0" w:color="FF0000"/>
              <w:bottom w:val="single" w:sz="12" w:space="0" w:color="FF0000"/>
              <w:right w:val="single" w:sz="12" w:space="0" w:color="FF0000"/>
            </w:tcBorders>
            <w:shd w:val="clear" w:color="auto" w:fill="FFAFAF"/>
          </w:tcPr>
          <w:p w14:paraId="4D69F314" w14:textId="77777777" w:rsidR="001B3408" w:rsidRPr="001B3408" w:rsidRDefault="001B3408" w:rsidP="001B3408">
            <w:pPr>
              <w:rPr>
                <w:rFonts w:ascii="Arial" w:hAnsi="Arial"/>
                <w:sz w:val="16"/>
                <w:szCs w:val="16"/>
              </w:rPr>
            </w:pPr>
            <w:r w:rsidRPr="001B3408">
              <w:rPr>
                <w:rFonts w:ascii="Arial" w:hAnsi="Arial"/>
                <w:sz w:val="16"/>
                <w:szCs w:val="16"/>
              </w:rPr>
              <w:t>DEWLP is control agency; State Controller – Energy may be appointed</w:t>
            </w:r>
          </w:p>
        </w:tc>
      </w:tr>
    </w:tbl>
    <w:p w14:paraId="4BB7E04D" w14:textId="77777777" w:rsidR="00DD2A1D" w:rsidRPr="003907AC" w:rsidRDefault="00DD2A1D" w:rsidP="00DD2A1D"/>
    <w:p w14:paraId="6824D006" w14:textId="77777777" w:rsidR="00DD2A1D" w:rsidRPr="003907AC" w:rsidRDefault="00DD2A1D" w:rsidP="00DD2A1D">
      <w:pPr>
        <w:rPr>
          <w:color w:val="005954" w:themeColor="accent1" w:themeShade="80"/>
          <w:sz w:val="30"/>
          <w:szCs w:val="54"/>
        </w:rPr>
      </w:pPr>
    </w:p>
    <w:p w14:paraId="674D5F27" w14:textId="77777777" w:rsidR="00DD2A1D" w:rsidRPr="003907AC" w:rsidRDefault="00DD2A1D" w:rsidP="00DD2A1D">
      <w:pPr>
        <w:pStyle w:val="Heading1"/>
      </w:pPr>
      <w:bookmarkStart w:id="751" w:name="_Toc82274495"/>
      <w:bookmarkStart w:id="752" w:name="_Toc82350784"/>
      <w:bookmarkStart w:id="753" w:name="_Toc90319407"/>
      <w:bookmarkStart w:id="754" w:name="_Ref92436280"/>
      <w:bookmarkStart w:id="755" w:name="_Ref92438235"/>
      <w:bookmarkStart w:id="756" w:name="_Toc94013170"/>
      <w:bookmarkStart w:id="757" w:name="_Toc1322658687"/>
      <w:bookmarkStart w:id="758" w:name="_Toc2108174055"/>
      <w:bookmarkStart w:id="759" w:name="_Toc1675973110"/>
      <w:bookmarkStart w:id="760" w:name="_Toc2036619737"/>
      <w:bookmarkStart w:id="761" w:name="_Toc695317490"/>
      <w:bookmarkStart w:id="762" w:name="_Toc1559021251"/>
      <w:bookmarkStart w:id="763" w:name="_Toc51849882"/>
      <w:bookmarkStart w:id="764" w:name="_Toc1175348766"/>
      <w:bookmarkStart w:id="765" w:name="_Toc1238956378"/>
      <w:bookmarkStart w:id="766" w:name="_Toc1971283594"/>
      <w:bookmarkStart w:id="767" w:name="_Toc209370434"/>
      <w:bookmarkStart w:id="768" w:name="_Toc1168854287"/>
      <w:bookmarkStart w:id="769" w:name="_Toc619671652"/>
      <w:bookmarkStart w:id="770" w:name="_Toc1321933667"/>
      <w:bookmarkStart w:id="771" w:name="_Toc500884619"/>
      <w:bookmarkStart w:id="772" w:name="_Toc474800609"/>
      <w:bookmarkStart w:id="773" w:name="_Toc1441979078"/>
      <w:bookmarkStart w:id="774" w:name="_Toc1584407434"/>
      <w:bookmarkStart w:id="775" w:name="_Toc907568709"/>
      <w:bookmarkStart w:id="776" w:name="_Toc536734946"/>
      <w:bookmarkStart w:id="777" w:name="_Toc279215339"/>
      <w:bookmarkStart w:id="778" w:name="_Toc911145271"/>
      <w:bookmarkStart w:id="779" w:name="_Toc1266185647"/>
      <w:bookmarkStart w:id="780" w:name="_Toc1083332828"/>
      <w:bookmarkStart w:id="781" w:name="_Toc2128169712"/>
      <w:bookmarkStart w:id="782" w:name="_Toc1337838030"/>
      <w:bookmarkStart w:id="783" w:name="_Toc540293077"/>
      <w:bookmarkStart w:id="784" w:name="_Toc184187620"/>
      <w:bookmarkStart w:id="785" w:name="_Toc287744642"/>
      <w:bookmarkStart w:id="786" w:name="_Toc57790362"/>
      <w:bookmarkStart w:id="787" w:name="_Toc1787496347"/>
      <w:bookmarkStart w:id="788" w:name="_Toc1536994163"/>
      <w:bookmarkStart w:id="789" w:name="_Toc811255516"/>
      <w:bookmarkStart w:id="790" w:name="_Toc169840968"/>
      <w:bookmarkStart w:id="791" w:name="_Toc664748682"/>
      <w:bookmarkStart w:id="792" w:name="_Toc1320225140"/>
      <w:bookmarkStart w:id="793" w:name="_Toc1012331379"/>
      <w:bookmarkStart w:id="794" w:name="_Toc510785949"/>
      <w:bookmarkStart w:id="795" w:name="_Toc2117786107"/>
      <w:bookmarkStart w:id="796" w:name="_Toc715095892"/>
      <w:bookmarkStart w:id="797" w:name="_Toc2090034839"/>
      <w:bookmarkStart w:id="798" w:name="_Toc1126247837"/>
      <w:bookmarkStart w:id="799" w:name="_Toc199486977"/>
      <w:bookmarkStart w:id="800" w:name="_Toc1387767204"/>
      <w:bookmarkStart w:id="801" w:name="_Toc302910702"/>
      <w:bookmarkStart w:id="802" w:name="_Hlk52200321"/>
      <w:bookmarkEnd w:id="750"/>
      <w:r>
        <w:t>Mitigation</w:t>
      </w:r>
      <w:bookmarkEnd w:id="751"/>
      <w:bookmarkEnd w:id="752"/>
      <w:bookmarkEnd w:id="753"/>
      <w:bookmarkEnd w:id="754"/>
      <w:bookmarkEnd w:id="755"/>
      <w:bookmarkEnd w:id="756"/>
      <w:r>
        <w:t xml:space="preserve"> </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1E48475E" w14:textId="77777777" w:rsidR="00DD2A1D" w:rsidRPr="003907AC" w:rsidRDefault="00DD2A1D" w:rsidP="001B3408">
      <w:pPr>
        <w:pStyle w:val="BodyText"/>
      </w:pPr>
      <w:r w:rsidRPr="003907AC">
        <w:rPr>
          <w:b/>
          <w:bCs/>
        </w:rPr>
        <w:t>Mitigation</w:t>
      </w:r>
      <w:r w:rsidRPr="003907AC">
        <w:t xml:space="preserve"> </w:t>
      </w:r>
      <w:r w:rsidRPr="00CA630C">
        <w:t xml:space="preserve">is the elimination or reduction of the incidence or severity of emergencies and the minimisation of their effects, </w:t>
      </w:r>
      <w:proofErr w:type="gramStart"/>
      <w:r w:rsidRPr="00CA630C">
        <w:t>and also</w:t>
      </w:r>
      <w:proofErr w:type="gramEnd"/>
      <w:r w:rsidRPr="00CA630C">
        <w:t xml:space="preserve"> includes measures undertaken as part of business-as-usual functions to mitigate emergencies</w:t>
      </w:r>
      <w:r w:rsidRPr="003907AC">
        <w:t xml:space="preserve">.  </w:t>
      </w:r>
    </w:p>
    <w:p w14:paraId="55E69FB6" w14:textId="77777777" w:rsidR="00DD2A1D" w:rsidRPr="003907AC" w:rsidRDefault="00DD2A1D" w:rsidP="00DD2A1D">
      <w:pPr>
        <w:pStyle w:val="Heading2"/>
      </w:pPr>
      <w:bookmarkStart w:id="803" w:name="_Toc90319408"/>
      <w:bookmarkStart w:id="804" w:name="_Toc1471823816"/>
      <w:bookmarkStart w:id="805" w:name="_Toc437092397"/>
      <w:bookmarkStart w:id="806" w:name="_Toc1681077861"/>
      <w:bookmarkStart w:id="807" w:name="_Toc960116392"/>
      <w:bookmarkStart w:id="808" w:name="_Toc1385901138"/>
      <w:bookmarkStart w:id="809" w:name="_Toc153403362"/>
      <w:bookmarkStart w:id="810" w:name="_Toc1261761419"/>
      <w:bookmarkStart w:id="811" w:name="_Toc2035753648"/>
      <w:bookmarkStart w:id="812" w:name="_Toc1955375260"/>
      <w:bookmarkStart w:id="813" w:name="_Toc1746884754"/>
      <w:bookmarkStart w:id="814" w:name="_Toc444548631"/>
      <w:bookmarkStart w:id="815" w:name="_Toc1429516928"/>
      <w:bookmarkStart w:id="816" w:name="_Toc571119981"/>
      <w:bookmarkStart w:id="817" w:name="_Toc239398381"/>
      <w:bookmarkStart w:id="818" w:name="_Toc812564362"/>
      <w:bookmarkStart w:id="819" w:name="_Toc1224013209"/>
      <w:bookmarkStart w:id="820" w:name="_Toc462571840"/>
      <w:bookmarkStart w:id="821" w:name="_Toc26129578"/>
      <w:bookmarkStart w:id="822" w:name="_Toc2144394664"/>
      <w:bookmarkStart w:id="823" w:name="_Toc665220342"/>
      <w:bookmarkStart w:id="824" w:name="_Toc225155131"/>
      <w:bookmarkStart w:id="825" w:name="_Toc244257102"/>
      <w:bookmarkStart w:id="826" w:name="_Toc635454526"/>
      <w:bookmarkStart w:id="827" w:name="_Toc2042487376"/>
      <w:bookmarkStart w:id="828" w:name="_Toc146161492"/>
      <w:bookmarkStart w:id="829" w:name="_Toc1877150990"/>
      <w:bookmarkStart w:id="830" w:name="_Toc1697381624"/>
      <w:bookmarkStart w:id="831" w:name="_Toc1125974921"/>
      <w:bookmarkStart w:id="832" w:name="_Toc1847916438"/>
      <w:bookmarkStart w:id="833" w:name="_Toc4347995"/>
      <w:bookmarkStart w:id="834" w:name="_Toc814372167"/>
      <w:bookmarkStart w:id="835" w:name="_Toc1300130041"/>
      <w:bookmarkStart w:id="836" w:name="_Toc2090747373"/>
      <w:bookmarkStart w:id="837" w:name="_Toc1012360068"/>
      <w:bookmarkStart w:id="838" w:name="_Toc1893353834"/>
      <w:bookmarkStart w:id="839" w:name="_Toc1532877968"/>
      <w:bookmarkStart w:id="840" w:name="_Toc814568596"/>
      <w:bookmarkStart w:id="841" w:name="_Toc799812291"/>
      <w:bookmarkStart w:id="842" w:name="_Toc484721020"/>
      <w:bookmarkStart w:id="843" w:name="_Toc1171386223"/>
      <w:bookmarkStart w:id="844" w:name="_Toc596682201"/>
      <w:bookmarkStart w:id="845" w:name="_Toc18207170"/>
      <w:bookmarkStart w:id="846" w:name="_Toc584568708"/>
      <w:bookmarkStart w:id="847" w:name="_Toc1050090123"/>
      <w:bookmarkStart w:id="848" w:name="_Toc582227971"/>
      <w:bookmarkStart w:id="849" w:name="_Ref92436221"/>
      <w:bookmarkStart w:id="850" w:name="_Ref92438423"/>
      <w:bookmarkStart w:id="851" w:name="_Toc94013171"/>
      <w:r>
        <w:t>Roles and responsibilities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0B89FCA9" w14:textId="77777777" w:rsidR="00DD2A1D" w:rsidRPr="003907AC" w:rsidRDefault="00DD2A1D" w:rsidP="001B3408">
      <w:pPr>
        <w:pStyle w:val="BodyText"/>
      </w:pPr>
      <w:r w:rsidRPr="003907AC">
        <w:t>Roles and responsibilities for mitigation of electricity supply, gas supply and liquid fuel disruption are set out in SEMP Roles and Responsibilities Table 8.</w:t>
      </w:r>
    </w:p>
    <w:p w14:paraId="47AE9651" w14:textId="77777777" w:rsidR="00DD2A1D" w:rsidRPr="003907AC" w:rsidRDefault="00DD2A1D" w:rsidP="001B3408">
      <w:pPr>
        <w:pStyle w:val="BodyText"/>
      </w:pPr>
      <w:r w:rsidRPr="003907AC">
        <w:t xml:space="preserve">The energy industry has a key role to mitigate energy emergencies. As the owners and operators of infrastructure and supply chains, energy sector businesses and AEMO undertake range of activities to prevent and minimise the likelihood and severity of energy disruption. This includes: </w:t>
      </w:r>
    </w:p>
    <w:p w14:paraId="0FC980BD" w14:textId="77777777" w:rsidR="00DD2A1D" w:rsidRPr="001B3408" w:rsidRDefault="00DD2A1D" w:rsidP="0075092B">
      <w:pPr>
        <w:pStyle w:val="ListParagraph"/>
      </w:pPr>
      <w:r w:rsidRPr="001B3408">
        <w:t xml:space="preserve">Infrastructure design (including redundancy), maintenance, safe </w:t>
      </w:r>
      <w:proofErr w:type="gramStart"/>
      <w:r w:rsidRPr="001B3408">
        <w:t>operation</w:t>
      </w:r>
      <w:proofErr w:type="gramEnd"/>
      <w:r w:rsidRPr="001B3408">
        <w:t xml:space="preserve"> and physical security </w:t>
      </w:r>
    </w:p>
    <w:p w14:paraId="405C87EF" w14:textId="77777777" w:rsidR="00DD2A1D" w:rsidRPr="001B3408" w:rsidRDefault="00DD2A1D">
      <w:pPr>
        <w:pStyle w:val="ListParagraph"/>
      </w:pPr>
      <w:r w:rsidRPr="001B3408">
        <w:t>Supply and demand management, modelling, planning and strategies, and market mechanisms</w:t>
      </w:r>
    </w:p>
    <w:p w14:paraId="38D7BB49" w14:textId="77777777" w:rsidR="00DD2A1D" w:rsidRPr="001B3408" w:rsidRDefault="00DD2A1D">
      <w:pPr>
        <w:pStyle w:val="ListParagraph"/>
      </w:pPr>
      <w:r w:rsidRPr="001B3408">
        <w:t>Industry forums, including regular emergency exercises</w:t>
      </w:r>
    </w:p>
    <w:p w14:paraId="4738A2BB" w14:textId="77777777" w:rsidR="00DD2A1D" w:rsidRPr="003907AC" w:rsidRDefault="00DD2A1D" w:rsidP="001B3408">
      <w:pPr>
        <w:pStyle w:val="BodyText"/>
      </w:pPr>
      <w:r w:rsidRPr="003907AC">
        <w:t xml:space="preserve">Government delivers its mitigation role through a range of laws, </w:t>
      </w:r>
      <w:proofErr w:type="gramStart"/>
      <w:r w:rsidRPr="003907AC">
        <w:t>policies</w:t>
      </w:r>
      <w:proofErr w:type="gramEnd"/>
      <w:r w:rsidRPr="003907AC">
        <w:t xml:space="preserve"> and programs; and by monitoring and assuring industry’s preventative and mitigation actions. </w:t>
      </w:r>
    </w:p>
    <w:p w14:paraId="62C7B726" w14:textId="77777777" w:rsidR="00DD2A1D" w:rsidRPr="003907AC" w:rsidRDefault="00DD2A1D" w:rsidP="001B3408">
      <w:pPr>
        <w:pStyle w:val="BodyText"/>
      </w:pPr>
      <w:r w:rsidRPr="003907AC">
        <w:t>All energy users – both individuals and organisations – also have a role to prepare for and mitigate the impact of energy disruption.</w:t>
      </w:r>
      <w:bookmarkStart w:id="852" w:name="_Toc186935"/>
      <w:bookmarkStart w:id="853" w:name="_Toc512259058"/>
      <w:bookmarkStart w:id="854" w:name="_Toc11158900"/>
      <w:bookmarkStart w:id="855" w:name="_Toc11672955"/>
    </w:p>
    <w:bookmarkEnd w:id="852"/>
    <w:bookmarkEnd w:id="853"/>
    <w:bookmarkEnd w:id="854"/>
    <w:bookmarkEnd w:id="855"/>
    <w:p w14:paraId="22CA1721" w14:textId="77777777" w:rsidR="00DD2A1D" w:rsidRPr="003907AC" w:rsidRDefault="00DD2A1D" w:rsidP="001B3408">
      <w:pPr>
        <w:pStyle w:val="BodyText"/>
      </w:pPr>
      <w:r w:rsidRPr="003907AC">
        <w:t xml:space="preserve">Government, emergency services and other stakeholders provide advice to Victorians through a range of programs, </w:t>
      </w:r>
      <w:proofErr w:type="gramStart"/>
      <w:r w:rsidRPr="003907AC">
        <w:t>information</w:t>
      </w:r>
      <w:proofErr w:type="gramEnd"/>
      <w:r w:rsidRPr="003907AC">
        <w:t xml:space="preserve"> and tools. This includes advice warnings, and other pre-response mitigation measures about bushfires, storms, flood and heatwaves and related risks of energy disruption. </w:t>
      </w:r>
    </w:p>
    <w:p w14:paraId="3DE61D29" w14:textId="77777777" w:rsidR="00DD2A1D" w:rsidRPr="003907AC" w:rsidRDefault="00DD2A1D" w:rsidP="001B3408">
      <w:pPr>
        <w:pStyle w:val="BodyText"/>
      </w:pPr>
      <w:r w:rsidRPr="003907AC">
        <w:t xml:space="preserve">This supports individuals and households, businesses, </w:t>
      </w:r>
      <w:proofErr w:type="gramStart"/>
      <w:r w:rsidRPr="003907AC">
        <w:t>industry</w:t>
      </w:r>
      <w:proofErr w:type="gramEnd"/>
      <w:r w:rsidRPr="003907AC">
        <w:t xml:space="preserve"> and community groups to understand risks, and undertake planning and preparation for energy disruption.  This enables them to make informed decisions prior to and during an energy disruption.</w:t>
      </w:r>
    </w:p>
    <w:p w14:paraId="3FF9955F" w14:textId="77777777" w:rsidR="00DD2A1D" w:rsidRPr="003907AC" w:rsidRDefault="00DD2A1D" w:rsidP="00DD2A1D">
      <w:pPr>
        <w:pStyle w:val="Heading2"/>
      </w:pPr>
      <w:bookmarkStart w:id="856" w:name="_Toc90319409"/>
      <w:bookmarkStart w:id="857" w:name="_Toc273580665"/>
      <w:bookmarkStart w:id="858" w:name="_Toc940391397"/>
      <w:bookmarkStart w:id="859" w:name="_Toc1959518759"/>
      <w:bookmarkStart w:id="860" w:name="_Toc1750157305"/>
      <w:bookmarkStart w:id="861" w:name="_Toc1840436670"/>
      <w:bookmarkStart w:id="862" w:name="_Toc1803206442"/>
      <w:bookmarkStart w:id="863" w:name="_Toc246755719"/>
      <w:bookmarkStart w:id="864" w:name="_Toc22102102"/>
      <w:bookmarkStart w:id="865" w:name="_Toc1458853406"/>
      <w:bookmarkStart w:id="866" w:name="_Toc788772602"/>
      <w:bookmarkStart w:id="867" w:name="_Toc201937529"/>
      <w:bookmarkStart w:id="868" w:name="_Toc1988957286"/>
      <w:bookmarkStart w:id="869" w:name="_Toc517188589"/>
      <w:bookmarkStart w:id="870" w:name="_Toc1228925157"/>
      <w:bookmarkStart w:id="871" w:name="_Toc1531960925"/>
      <w:bookmarkStart w:id="872" w:name="_Toc1561089847"/>
      <w:bookmarkStart w:id="873" w:name="_Toc147361454"/>
      <w:bookmarkStart w:id="874" w:name="_Toc1162830642"/>
      <w:bookmarkStart w:id="875" w:name="_Toc1136347376"/>
      <w:bookmarkStart w:id="876" w:name="_Toc2132202328"/>
      <w:bookmarkStart w:id="877" w:name="_Toc751218125"/>
      <w:bookmarkStart w:id="878" w:name="_Toc422880073"/>
      <w:bookmarkStart w:id="879" w:name="_Toc1398813153"/>
      <w:bookmarkStart w:id="880" w:name="_Toc1873178617"/>
      <w:bookmarkStart w:id="881" w:name="_Toc1219121711"/>
      <w:bookmarkStart w:id="882" w:name="_Toc998128295"/>
      <w:bookmarkStart w:id="883" w:name="_Toc1442861345"/>
      <w:bookmarkStart w:id="884" w:name="_Toc185032680"/>
      <w:bookmarkStart w:id="885" w:name="_Toc535892400"/>
      <w:bookmarkStart w:id="886" w:name="_Toc711246004"/>
      <w:bookmarkStart w:id="887" w:name="_Toc868922428"/>
      <w:bookmarkStart w:id="888" w:name="_Toc638005846"/>
      <w:bookmarkStart w:id="889" w:name="_Toc314481198"/>
      <w:bookmarkStart w:id="890" w:name="_Toc1578000901"/>
      <w:bookmarkStart w:id="891" w:name="_Toc469767200"/>
      <w:bookmarkStart w:id="892" w:name="_Toc885091743"/>
      <w:bookmarkStart w:id="893" w:name="_Toc1867163772"/>
      <w:bookmarkStart w:id="894" w:name="_Toc1535253054"/>
      <w:bookmarkStart w:id="895" w:name="_Toc1014667701"/>
      <w:bookmarkStart w:id="896" w:name="_Toc1588179391"/>
      <w:bookmarkStart w:id="897" w:name="_Toc1462134793"/>
      <w:bookmarkStart w:id="898" w:name="_Toc1293169728"/>
      <w:bookmarkStart w:id="899" w:name="_Toc534324948"/>
      <w:bookmarkStart w:id="900" w:name="_Toc1462454635"/>
      <w:bookmarkStart w:id="901" w:name="_Toc1613971286"/>
      <w:bookmarkStart w:id="902" w:name="_Ref92437090"/>
      <w:bookmarkStart w:id="903" w:name="_Ref92438242"/>
      <w:bookmarkStart w:id="904" w:name="_Toc94013172"/>
      <w:r>
        <w:t>Planning</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1903F257" w14:textId="77777777" w:rsidR="00DD2A1D" w:rsidRPr="003907AC" w:rsidRDefault="00DD2A1D" w:rsidP="001B3408">
      <w:pPr>
        <w:pStyle w:val="BodyText"/>
      </w:pPr>
      <w:r w:rsidRPr="003907AC">
        <w:t>Various activities (such as developing plans, exercising and annual preparedness briefings) contribute to mitigation and preparedness.</w:t>
      </w:r>
    </w:p>
    <w:p w14:paraId="2C1093BF" w14:textId="78D83205" w:rsidR="00DD2A1D" w:rsidRPr="008151D9" w:rsidRDefault="2C037919" w:rsidP="008151D9">
      <w:pPr>
        <w:pStyle w:val="BodyText"/>
        <w:rPr>
          <w:rFonts w:eastAsia="Arial"/>
        </w:rPr>
      </w:pPr>
      <w:r w:rsidRPr="008151D9">
        <w:rPr>
          <w:b/>
          <w:color w:val="494847"/>
        </w:rPr>
        <w:t>State Emergency Management Planning</w:t>
      </w:r>
    </w:p>
    <w:p w14:paraId="0AC3E63F" w14:textId="4A913231" w:rsidR="00DD2A1D" w:rsidRPr="008151D9" w:rsidRDefault="2C037919" w:rsidP="008151D9">
      <w:pPr>
        <w:pStyle w:val="BodyText"/>
        <w:rPr>
          <w:rFonts w:eastAsia="Arial"/>
        </w:rPr>
      </w:pPr>
      <w:r w:rsidRPr="008151D9">
        <w:rPr>
          <w:rFonts w:eastAsia="Arial"/>
        </w:rPr>
        <w:t>The Emergency Management Commissioner is responsible for the preparation of the State Emergency Management Plan.</w:t>
      </w:r>
    </w:p>
    <w:p w14:paraId="21493396" w14:textId="255E1F8B" w:rsidR="00DD2A1D" w:rsidRPr="003907AC" w:rsidRDefault="2C037919" w:rsidP="005B75DD">
      <w:pPr>
        <w:pStyle w:val="BodyText"/>
      </w:pPr>
      <w:r w:rsidRPr="008151D9">
        <w:rPr>
          <w:rFonts w:eastAsia="Arial"/>
        </w:rPr>
        <w:t>This sub-plan forms part of comprehensive arrangements for emergency management in Victoria, and is a sub-plan to the State Emergency Management Plan</w:t>
      </w:r>
      <w:r w:rsidR="00DD2A1D">
        <w:t xml:space="preserve"> </w:t>
      </w:r>
    </w:p>
    <w:p w14:paraId="104CC72E" w14:textId="77777777" w:rsidR="00DD2A1D" w:rsidRPr="003907AC" w:rsidRDefault="00DD2A1D" w:rsidP="00DD2A1D">
      <w:pPr>
        <w:pStyle w:val="Heading3"/>
      </w:pPr>
      <w:bookmarkStart w:id="905" w:name="_Toc73015601"/>
      <w:bookmarkStart w:id="906" w:name="_Toc82274497"/>
      <w:bookmarkStart w:id="907" w:name="_Toc82350786"/>
      <w:bookmarkStart w:id="908" w:name="_Toc94013173"/>
      <w:bookmarkStart w:id="909" w:name="_Toc73541369"/>
      <w:bookmarkStart w:id="910" w:name="_Toc73015611"/>
      <w:bookmarkEnd w:id="905"/>
      <w:r w:rsidRPr="003907AC">
        <w:t>Regional Emergency Management Planning</w:t>
      </w:r>
      <w:bookmarkEnd w:id="906"/>
      <w:bookmarkEnd w:id="907"/>
      <w:bookmarkEnd w:id="908"/>
    </w:p>
    <w:p w14:paraId="6C81E056" w14:textId="77777777" w:rsidR="00DD2A1D" w:rsidRPr="003907AC" w:rsidRDefault="00DD2A1D" w:rsidP="001B3408">
      <w:pPr>
        <w:pStyle w:val="BodyText"/>
      </w:pPr>
      <w:r w:rsidRPr="003907AC">
        <w:t xml:space="preserve">Regional Emergency Management Planning Committees (REMPCs) are responsible for preparing the regional emergency management plan (REMP).  </w:t>
      </w:r>
    </w:p>
    <w:p w14:paraId="4D883F06" w14:textId="6CB813F4" w:rsidR="00DD2A1D" w:rsidRPr="003907AC" w:rsidRDefault="679868F5" w:rsidP="001B3408">
      <w:pPr>
        <w:pStyle w:val="BodyText"/>
      </w:pPr>
      <w:r>
        <w:t>REMPCs can invite subject matter experts (i.e., energy businesses, AEMO, DEWLP, ESV) to inform regional level planning.</w:t>
      </w:r>
      <w:r w:rsidR="3D94E909">
        <w:t xml:space="preserve"> AEMO communicates with DELWP and industry, with information flow to </w:t>
      </w:r>
      <w:proofErr w:type="gramStart"/>
      <w:r w:rsidR="3D94E909">
        <w:t>Regional</w:t>
      </w:r>
      <w:proofErr w:type="gramEnd"/>
      <w:r w:rsidR="3D94E909">
        <w:t xml:space="preserve"> centres via DELWP through the SCC.</w:t>
      </w:r>
    </w:p>
    <w:p w14:paraId="7EE6A5B6" w14:textId="77777777" w:rsidR="00DD2A1D" w:rsidRPr="003907AC" w:rsidRDefault="00DD2A1D" w:rsidP="00DD2A1D">
      <w:pPr>
        <w:pStyle w:val="Heading3"/>
      </w:pPr>
      <w:bookmarkStart w:id="911" w:name="_Toc82274498"/>
      <w:bookmarkStart w:id="912" w:name="_Toc82350787"/>
      <w:bookmarkStart w:id="913" w:name="_Toc94013174"/>
      <w:r w:rsidRPr="003907AC">
        <w:lastRenderedPageBreak/>
        <w:t>Municipal Emergency Management Planning</w:t>
      </w:r>
      <w:bookmarkEnd w:id="911"/>
      <w:bookmarkEnd w:id="912"/>
      <w:bookmarkEnd w:id="913"/>
    </w:p>
    <w:p w14:paraId="717043D4" w14:textId="77777777" w:rsidR="00DD2A1D" w:rsidRPr="003907AC" w:rsidRDefault="00DD2A1D" w:rsidP="001B3408">
      <w:pPr>
        <w:pStyle w:val="BodyText"/>
      </w:pPr>
      <w:r>
        <w:t>Municipal Emergency Management Planning Committees (MEMPCs) are responsible for preparing Municipal Emergency Management Plans (MEMPs).  MEMPCs, can invite subject matter experts (i.e., energy businesses, DEWLP, ESV) to inform.</w:t>
      </w:r>
    </w:p>
    <w:p w14:paraId="7AE72103" w14:textId="77777777" w:rsidR="00DD2A1D" w:rsidRPr="003907AC" w:rsidRDefault="00DD2A1D" w:rsidP="00DD2A1D">
      <w:pPr>
        <w:pStyle w:val="Heading3"/>
      </w:pPr>
      <w:bookmarkStart w:id="914" w:name="_Toc82274499"/>
      <w:bookmarkStart w:id="915" w:name="_Toc82350788"/>
      <w:bookmarkStart w:id="916" w:name="_Toc94013175"/>
      <w:r w:rsidRPr="003907AC">
        <w:t>Vital Critical Infrastructure Emergency Management Planning</w:t>
      </w:r>
      <w:bookmarkEnd w:id="914"/>
      <w:bookmarkEnd w:id="915"/>
      <w:bookmarkEnd w:id="916"/>
    </w:p>
    <w:p w14:paraId="0FEA59D1" w14:textId="77777777" w:rsidR="00DD2A1D" w:rsidRPr="003907AC" w:rsidRDefault="00DD2A1D" w:rsidP="001B3408">
      <w:pPr>
        <w:pStyle w:val="BodyText"/>
      </w:pPr>
      <w:r w:rsidRPr="003907AC">
        <w:t>The Emergency Management Act</w:t>
      </w:r>
      <w:r>
        <w:t xml:space="preserve"> 2013</w:t>
      </w:r>
      <w:r w:rsidRPr="003907AC">
        <w:rPr>
          <w:i/>
          <w:iCs/>
        </w:rPr>
        <w:t xml:space="preserve"> </w:t>
      </w:r>
      <w:r w:rsidRPr="003907AC">
        <w:t xml:space="preserve">provides for the ‘criticality’ of infrastructure within sectors to be assessed and ranked as ‘vital’ (highest), ‘major’, ‘significant’ or ‘local’. </w:t>
      </w:r>
    </w:p>
    <w:p w14:paraId="2C8465CB" w14:textId="77777777" w:rsidR="00DD2A1D" w:rsidRPr="003907AC" w:rsidRDefault="00DD2A1D" w:rsidP="001B3408">
      <w:pPr>
        <w:pStyle w:val="BodyText"/>
      </w:pPr>
      <w:r w:rsidRPr="003907AC">
        <w:t>Under the Act, the Minister for Energy, Environment and Climate Change has designated some energy critical infrastructure as ‘vital’. The owners and operators of this infrastructure are subject to additional requirements, including undertaking four activities within a Resilience Improvement Cycle: emergency risk management planning, exercising, audits and assurance reporting.</w:t>
      </w:r>
    </w:p>
    <w:p w14:paraId="6E41DF6E" w14:textId="77777777" w:rsidR="00DD2A1D" w:rsidRPr="003907AC" w:rsidRDefault="00DD2A1D" w:rsidP="001B3408">
      <w:pPr>
        <w:pStyle w:val="BodyText"/>
      </w:pPr>
      <w:r w:rsidRPr="003907AC">
        <w:t>Each year, owners/operators of designated vital critical infrastructure are required to undertake a Risk Management Plan.  This plan provides those actions and activities each entity will undertake to ensure the mitigation of risk, preparedness for, response to and recovery from emergency events identified to ensure continued safe operation.</w:t>
      </w:r>
    </w:p>
    <w:p w14:paraId="70257220" w14:textId="77777777" w:rsidR="00DD2A1D" w:rsidRPr="003907AC" w:rsidRDefault="00DD2A1D" w:rsidP="00DD2A1D">
      <w:pPr>
        <w:pStyle w:val="Heading3"/>
      </w:pPr>
      <w:bookmarkStart w:id="917" w:name="_Toc82274500"/>
      <w:bookmarkStart w:id="918" w:name="_Toc82350789"/>
      <w:bookmarkStart w:id="919" w:name="_Toc94013176"/>
      <w:r w:rsidRPr="003907AC">
        <w:t>Sector Resilience Plan</w:t>
      </w:r>
      <w:bookmarkEnd w:id="917"/>
      <w:bookmarkEnd w:id="918"/>
      <w:r>
        <w:t>s</w:t>
      </w:r>
      <w:bookmarkEnd w:id="919"/>
    </w:p>
    <w:p w14:paraId="67981681" w14:textId="77777777" w:rsidR="00DD2A1D" w:rsidRDefault="00DD2A1D" w:rsidP="001B3408">
      <w:pPr>
        <w:pStyle w:val="BodyText"/>
        <w:rPr>
          <w:i/>
          <w:iCs/>
        </w:rPr>
      </w:pPr>
      <w:r w:rsidRPr="003907AC">
        <w:t>Each year, as required under the Emergency Management Act</w:t>
      </w:r>
      <w:r>
        <w:t>,</w:t>
      </w:r>
      <w:r w:rsidRPr="003907AC">
        <w:rPr>
          <w:i/>
          <w:iCs/>
        </w:rPr>
        <w:t xml:space="preserve"> </w:t>
      </w:r>
      <w:r>
        <w:t xml:space="preserve">Sector Resilience Plans are prepared by each of the </w:t>
      </w:r>
      <w:r w:rsidRPr="0069185F">
        <w:t>eight Sector Resilience Networks</w:t>
      </w:r>
      <w:r>
        <w:t>.</w:t>
      </w:r>
    </w:p>
    <w:p w14:paraId="50A44DD2" w14:textId="77777777" w:rsidR="00DD2A1D" w:rsidRPr="003907AC" w:rsidRDefault="00DD2A1D" w:rsidP="001B3408">
      <w:pPr>
        <w:pStyle w:val="BodyText"/>
        <w:rPr>
          <w:szCs w:val="22"/>
        </w:rPr>
      </w:pPr>
      <w:r w:rsidRPr="003907AC">
        <w:t>DELWP</w:t>
      </w:r>
      <w:r>
        <w:t>, as the government lead for the energy sector, works with industry to</w:t>
      </w:r>
      <w:r w:rsidRPr="003907AC">
        <w:t xml:space="preserve"> produce an </w:t>
      </w:r>
      <w:r w:rsidRPr="003907AC">
        <w:rPr>
          <w:szCs w:val="22"/>
        </w:rPr>
        <w:t xml:space="preserve">Energy Sector Resilience Plan that includes: </w:t>
      </w:r>
    </w:p>
    <w:p w14:paraId="4A4A4DE6" w14:textId="77777777" w:rsidR="00DD2A1D" w:rsidRPr="003907AC" w:rsidRDefault="00DD2A1D" w:rsidP="0075092B">
      <w:pPr>
        <w:pStyle w:val="ListParagraph"/>
        <w:numPr>
          <w:ilvl w:val="0"/>
          <w:numId w:val="26"/>
        </w:numPr>
      </w:pPr>
      <w:r w:rsidRPr="003907AC">
        <w:t xml:space="preserve">an assessment of the energy sector’s overall resilience </w:t>
      </w:r>
    </w:p>
    <w:p w14:paraId="1F9B5DE1" w14:textId="77777777" w:rsidR="00DD2A1D" w:rsidRPr="003907AC" w:rsidRDefault="00DD2A1D">
      <w:pPr>
        <w:pStyle w:val="ListParagraph"/>
        <w:numPr>
          <w:ilvl w:val="0"/>
          <w:numId w:val="26"/>
        </w:numPr>
      </w:pPr>
      <w:r w:rsidRPr="003907AC">
        <w:t xml:space="preserve">key emergency risks faced by the sector </w:t>
      </w:r>
    </w:p>
    <w:p w14:paraId="266D34BE" w14:textId="77777777" w:rsidR="00DD2A1D" w:rsidRPr="003907AC" w:rsidRDefault="00DD2A1D">
      <w:pPr>
        <w:pStyle w:val="ListParagraph"/>
        <w:numPr>
          <w:ilvl w:val="0"/>
          <w:numId w:val="26"/>
        </w:numPr>
      </w:pPr>
      <w:r w:rsidRPr="003907AC">
        <w:t xml:space="preserve">the potential consequences of those risks, and </w:t>
      </w:r>
    </w:p>
    <w:p w14:paraId="468D12BF" w14:textId="77777777" w:rsidR="00DD2A1D" w:rsidRDefault="00DD2A1D">
      <w:pPr>
        <w:pStyle w:val="ListParagraph"/>
        <w:numPr>
          <w:ilvl w:val="0"/>
          <w:numId w:val="26"/>
        </w:numPr>
      </w:pPr>
      <w:r w:rsidRPr="003907AC">
        <w:t xml:space="preserve">resilience improvement initiatives in the following 12 months. </w:t>
      </w:r>
    </w:p>
    <w:p w14:paraId="2D150C4B" w14:textId="77777777" w:rsidR="00DD2A1D" w:rsidRPr="000B1753" w:rsidRDefault="00DD2A1D" w:rsidP="001B3408">
      <w:pPr>
        <w:pStyle w:val="BodyText"/>
      </w:pPr>
      <w:r>
        <w:t xml:space="preserve">Sector Resilience Plan for the other critical infrastructure sectors (water, food and grocery supply logistics, health, transport, communications, banking and finance, and government) consistently identify energy disruption as a key risk requiring preparedness and mitigation strategies at the sector-wide and individual operator level. </w:t>
      </w:r>
    </w:p>
    <w:p w14:paraId="1B856A19" w14:textId="77777777" w:rsidR="00DD2A1D" w:rsidRPr="003907AC" w:rsidRDefault="00DD2A1D" w:rsidP="00DD2A1D">
      <w:pPr>
        <w:pStyle w:val="Heading3"/>
      </w:pPr>
      <w:bookmarkStart w:id="920" w:name="_Toc82350790"/>
      <w:bookmarkStart w:id="921" w:name="_Toc94013177"/>
      <w:r w:rsidRPr="003907AC">
        <w:t>The Electricity Statement of Opportunities (ESOO) and Gas Statement of Opportunities (GSOO)</w:t>
      </w:r>
      <w:bookmarkEnd w:id="920"/>
      <w:bookmarkEnd w:id="921"/>
    </w:p>
    <w:p w14:paraId="19AE04FC" w14:textId="62BFEF52" w:rsidR="679868F5" w:rsidRDefault="679868F5" w:rsidP="7EA0B018">
      <w:pPr>
        <w:pStyle w:val="BodyText"/>
      </w:pPr>
      <w:r>
        <w:t>Each year AEMO produces the Electricity Statement of Opportunities (ESOO) and Gas Statement of Opportunities (GSOO). The ESOO and the GSOO forecast long-term reliability of electricity supply to inform decisions by market participants, investors, and policy makers. By forecasting any potential reliability gaps over a forward five-year period, the ESOO and GSOO mitigate the risks of supply shortage into the future.</w:t>
      </w:r>
    </w:p>
    <w:p w14:paraId="11FB8445" w14:textId="77777777" w:rsidR="00DD2A1D" w:rsidRPr="003907AC" w:rsidRDefault="00DD2A1D" w:rsidP="00DD2A1D">
      <w:pPr>
        <w:pStyle w:val="Heading2"/>
      </w:pPr>
      <w:bookmarkStart w:id="922" w:name="_Toc90319410"/>
      <w:bookmarkStart w:id="923" w:name="_Toc414913890"/>
      <w:bookmarkStart w:id="924" w:name="_Toc1808242691"/>
      <w:bookmarkStart w:id="925" w:name="_Toc691427803"/>
      <w:bookmarkStart w:id="926" w:name="_Toc826750286"/>
      <w:bookmarkStart w:id="927" w:name="_Toc720396092"/>
      <w:bookmarkStart w:id="928" w:name="_Toc1645002448"/>
      <w:bookmarkStart w:id="929" w:name="_Toc923555154"/>
      <w:bookmarkStart w:id="930" w:name="_Toc377134526"/>
      <w:bookmarkStart w:id="931" w:name="_Toc428617646"/>
      <w:bookmarkStart w:id="932" w:name="_Toc866761821"/>
      <w:bookmarkStart w:id="933" w:name="_Toc2090251309"/>
      <w:bookmarkStart w:id="934" w:name="_Toc1720048829"/>
      <w:bookmarkStart w:id="935" w:name="_Toc2135218727"/>
      <w:bookmarkStart w:id="936" w:name="_Toc1972957599"/>
      <w:bookmarkStart w:id="937" w:name="_Toc53397857"/>
      <w:bookmarkStart w:id="938" w:name="_Toc1585127928"/>
      <w:bookmarkStart w:id="939" w:name="_Toc2116950062"/>
      <w:bookmarkStart w:id="940" w:name="_Toc362895679"/>
      <w:bookmarkStart w:id="941" w:name="_Toc1414634980"/>
      <w:bookmarkStart w:id="942" w:name="_Toc2103323542"/>
      <w:bookmarkStart w:id="943" w:name="_Toc1639540389"/>
      <w:bookmarkStart w:id="944" w:name="_Toc669700014"/>
      <w:bookmarkStart w:id="945" w:name="_Toc398896426"/>
      <w:bookmarkStart w:id="946" w:name="_Toc146205069"/>
      <w:bookmarkStart w:id="947" w:name="_Toc1611171960"/>
      <w:bookmarkStart w:id="948" w:name="_Toc2112613504"/>
      <w:bookmarkStart w:id="949" w:name="_Toc204914489"/>
      <w:bookmarkStart w:id="950" w:name="_Toc1656150453"/>
      <w:bookmarkStart w:id="951" w:name="_Toc970670898"/>
      <w:bookmarkStart w:id="952" w:name="_Toc1449467196"/>
      <w:bookmarkStart w:id="953" w:name="_Toc1320728321"/>
      <w:bookmarkStart w:id="954" w:name="_Toc697411353"/>
      <w:bookmarkStart w:id="955" w:name="_Toc1957525746"/>
      <w:bookmarkStart w:id="956" w:name="_Toc1325860596"/>
      <w:bookmarkStart w:id="957" w:name="_Toc1003392064"/>
      <w:bookmarkStart w:id="958" w:name="_Toc790890188"/>
      <w:bookmarkStart w:id="959" w:name="_Toc2041656263"/>
      <w:bookmarkStart w:id="960" w:name="_Toc406715688"/>
      <w:bookmarkStart w:id="961" w:name="_Toc1771526043"/>
      <w:bookmarkStart w:id="962" w:name="_Toc1810738096"/>
      <w:bookmarkStart w:id="963" w:name="_Toc171129742"/>
      <w:bookmarkStart w:id="964" w:name="_Toc1455557572"/>
      <w:bookmarkStart w:id="965" w:name="_Toc348339144"/>
      <w:bookmarkStart w:id="966" w:name="_Toc688437874"/>
      <w:bookmarkStart w:id="967" w:name="_Toc1470347309"/>
      <w:bookmarkStart w:id="968" w:name="_Toc94013178"/>
      <w:bookmarkStart w:id="969" w:name="_Toc82350781"/>
      <w:bookmarkStart w:id="970" w:name="_Toc82274502"/>
      <w:bookmarkStart w:id="971" w:name="_Toc82350792"/>
      <w:r>
        <w:t>Preparedness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790E12B2" w14:textId="77777777" w:rsidR="00DD2A1D" w:rsidRPr="003907AC" w:rsidRDefault="00DD2A1D" w:rsidP="001B3408">
      <w:pPr>
        <w:pStyle w:val="BodyText"/>
      </w:pPr>
      <w:r w:rsidRPr="003907AC">
        <w:t xml:space="preserve">Services, businesses (of all sizes) and critical infrastructure with a dependency on electricity, </w:t>
      </w:r>
      <w:proofErr w:type="gramStart"/>
      <w:r w:rsidRPr="003907AC">
        <w:t>gas</w:t>
      </w:r>
      <w:proofErr w:type="gramEnd"/>
      <w:r w:rsidRPr="003907AC">
        <w:t xml:space="preserve"> and liquid fuels (such as manufacturing, hospitals, water corporations, transportation and other critical infrastructure) need to ensure they prepare and regularly test and update their business continuity plans to reduce the disruption caused by supply interruptions.</w:t>
      </w:r>
    </w:p>
    <w:p w14:paraId="2BF02961" w14:textId="77777777" w:rsidR="00DD2A1D" w:rsidRPr="003907AC" w:rsidRDefault="00DD2A1D" w:rsidP="001B3408">
      <w:pPr>
        <w:pStyle w:val="BodyText"/>
      </w:pPr>
      <w:r w:rsidRPr="003907AC">
        <w:t xml:space="preserve">Individuals and households are responsible for learning about and preparing for risks energy supply disruption. </w:t>
      </w:r>
    </w:p>
    <w:p w14:paraId="37704BAD" w14:textId="77777777" w:rsidR="00DD2A1D" w:rsidRPr="003907AC" w:rsidRDefault="00DD2A1D" w:rsidP="001B3408">
      <w:pPr>
        <w:pStyle w:val="BodyText"/>
      </w:pPr>
      <w:r w:rsidRPr="003907AC">
        <w:t>Every household should have a well-practiced written emergency plan.</w:t>
      </w:r>
    </w:p>
    <w:p w14:paraId="6A13F2BA" w14:textId="77777777" w:rsidR="00DD2A1D" w:rsidRPr="003907AC" w:rsidRDefault="00DD2A1D" w:rsidP="001B3408">
      <w:pPr>
        <w:pStyle w:val="BodyText"/>
      </w:pPr>
      <w:r w:rsidRPr="003907AC">
        <w:t>Government and industry support this preparedness through community engagement and information, and safety awareness campaigns and programs.</w:t>
      </w:r>
    </w:p>
    <w:p w14:paraId="1A53C355" w14:textId="77777777" w:rsidR="00DD2A1D" w:rsidRPr="003907AC" w:rsidRDefault="00DD2A1D" w:rsidP="00DD2A1D">
      <w:pPr>
        <w:pStyle w:val="Heading2"/>
      </w:pPr>
      <w:bookmarkStart w:id="972" w:name="_Toc90319411"/>
      <w:bookmarkStart w:id="973" w:name="_Toc94013179"/>
      <w:bookmarkStart w:id="974" w:name="_Toc1323065249"/>
      <w:bookmarkStart w:id="975" w:name="_Toc1316589434"/>
      <w:bookmarkStart w:id="976" w:name="_Toc706681355"/>
      <w:bookmarkStart w:id="977" w:name="_Toc1710367904"/>
      <w:bookmarkStart w:id="978" w:name="_Toc962423640"/>
      <w:bookmarkStart w:id="979" w:name="_Toc2046713040"/>
      <w:bookmarkStart w:id="980" w:name="_Toc1656098748"/>
      <w:bookmarkStart w:id="981" w:name="_Toc893511662"/>
      <w:bookmarkStart w:id="982" w:name="_Toc266832124"/>
      <w:bookmarkStart w:id="983" w:name="_Toc696819608"/>
      <w:bookmarkStart w:id="984" w:name="_Toc188464919"/>
      <w:bookmarkStart w:id="985" w:name="_Toc746604601"/>
      <w:bookmarkStart w:id="986" w:name="_Toc585102022"/>
      <w:bookmarkStart w:id="987" w:name="_Toc1946139904"/>
      <w:bookmarkStart w:id="988" w:name="_Toc170440536"/>
      <w:bookmarkStart w:id="989" w:name="_Toc883774139"/>
      <w:bookmarkStart w:id="990" w:name="_Toc431582169"/>
      <w:bookmarkStart w:id="991" w:name="_Toc1704442320"/>
      <w:bookmarkStart w:id="992" w:name="_Toc1942906236"/>
      <w:bookmarkStart w:id="993" w:name="_Toc404958118"/>
      <w:bookmarkStart w:id="994" w:name="_Toc818662989"/>
      <w:bookmarkStart w:id="995" w:name="_Toc2076099907"/>
      <w:bookmarkStart w:id="996" w:name="_Toc1427999897"/>
      <w:bookmarkStart w:id="997" w:name="_Toc59546854"/>
      <w:bookmarkStart w:id="998" w:name="_Toc328328461"/>
      <w:bookmarkStart w:id="999" w:name="_Toc108769932"/>
      <w:bookmarkStart w:id="1000" w:name="_Toc1364895238"/>
      <w:bookmarkStart w:id="1001" w:name="_Toc1853698601"/>
      <w:bookmarkStart w:id="1002" w:name="_Toc1384853730"/>
      <w:bookmarkStart w:id="1003" w:name="_Toc1300257764"/>
      <w:bookmarkStart w:id="1004" w:name="_Toc964556268"/>
      <w:bookmarkStart w:id="1005" w:name="_Toc2003754698"/>
      <w:bookmarkStart w:id="1006" w:name="_Toc496773570"/>
      <w:bookmarkStart w:id="1007" w:name="_Toc2081695176"/>
      <w:bookmarkStart w:id="1008" w:name="_Toc1404163487"/>
      <w:bookmarkStart w:id="1009" w:name="_Toc66983251"/>
      <w:bookmarkStart w:id="1010" w:name="_Toc1397954887"/>
      <w:bookmarkStart w:id="1011" w:name="_Toc607688929"/>
      <w:bookmarkStart w:id="1012" w:name="_Toc1048464016"/>
      <w:bookmarkStart w:id="1013" w:name="_Toc1328643671"/>
      <w:bookmarkStart w:id="1014" w:name="_Toc1910703809"/>
      <w:bookmarkStart w:id="1015" w:name="_Toc1055926903"/>
      <w:bookmarkStart w:id="1016" w:name="_Toc1060497588"/>
      <w:bookmarkStart w:id="1017" w:name="_Toc896849469"/>
      <w:bookmarkStart w:id="1018" w:name="_Toc1418067362"/>
      <w:r>
        <w:lastRenderedPageBreak/>
        <w:t>Regulation</w:t>
      </w:r>
      <w:bookmarkEnd w:id="972"/>
      <w:bookmarkEnd w:id="973"/>
      <w:r>
        <w:t xml:space="preserve"> </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1A794DBA" w14:textId="77777777" w:rsidR="00DD2A1D" w:rsidRPr="003907AC" w:rsidRDefault="00DD2A1D" w:rsidP="00DD2A1D">
      <w:pPr>
        <w:pStyle w:val="Heading3"/>
      </w:pPr>
      <w:bookmarkStart w:id="1019" w:name="_Toc94013180"/>
      <w:r w:rsidRPr="003907AC">
        <w:t>Guaranteed Service Levels</w:t>
      </w:r>
      <w:bookmarkEnd w:id="1019"/>
    </w:p>
    <w:p w14:paraId="3AA794BD" w14:textId="77777777" w:rsidR="00DD2A1D" w:rsidRPr="003907AC" w:rsidRDefault="00DD2A1D" w:rsidP="001B3408">
      <w:pPr>
        <w:pStyle w:val="BodyText"/>
      </w:pPr>
      <w:r w:rsidRPr="003907AC">
        <w:t>The Australian Energy Regulator (AER) administers the Service Target Performance Incentive Scheme (STPIS) that applies to electricity distribution networks. The STPIS provides these networks with incentives for maintaining and improving network performance and achieve better reliability outcomes for all customers, including those in regional and rural areas. In Victoria, the Essential Services Commission administers the Electricity Distribution Code including the Guaranteed Service Level (GSL) scheme. Under the GSL, customers who experience many or long unplanned power outages during a year may be entitled to automatic compensation payments. Both frameworks incentivise performance and reliability of electricity networks.</w:t>
      </w:r>
    </w:p>
    <w:p w14:paraId="4A01EB07" w14:textId="77777777" w:rsidR="00DD2A1D" w:rsidRPr="003907AC" w:rsidRDefault="00DD2A1D" w:rsidP="00DD2A1D">
      <w:pPr>
        <w:pStyle w:val="Heading3"/>
      </w:pPr>
      <w:bookmarkStart w:id="1020" w:name="_Toc94013181"/>
      <w:r w:rsidRPr="003907AC">
        <w:t>Electricity and gas safety</w:t>
      </w:r>
      <w:bookmarkEnd w:id="1020"/>
    </w:p>
    <w:p w14:paraId="46A2599D" w14:textId="77777777" w:rsidR="00DD2A1D" w:rsidRPr="003907AC" w:rsidRDefault="00DD2A1D" w:rsidP="001B3408">
      <w:pPr>
        <w:pStyle w:val="BodyText"/>
      </w:pPr>
      <w:r w:rsidRPr="003907AC">
        <w:t xml:space="preserve">ESV is the regulator responsible for electrical and gas safety in Victoria.  ESV audits the design, construction and maintenance of electricity and gas networks and installations ensuring appliances meet safety and energy efficiency standards.  </w:t>
      </w:r>
    </w:p>
    <w:p w14:paraId="5D54AF5B" w14:textId="77777777" w:rsidR="00DD2A1D" w:rsidRPr="003907AC" w:rsidRDefault="00DD2A1D" w:rsidP="001B3408">
      <w:pPr>
        <w:pStyle w:val="BodyText"/>
      </w:pPr>
      <w:r w:rsidRPr="003907AC">
        <w:t xml:space="preserve">ESV regulates the legislative requirements that distribution businesses develop, </w:t>
      </w:r>
      <w:proofErr w:type="gramStart"/>
      <w:r w:rsidRPr="003907AC">
        <w:t>submit</w:t>
      </w:r>
      <w:proofErr w:type="gramEnd"/>
      <w:r w:rsidRPr="003907AC">
        <w:t xml:space="preserve"> and comply with an Electricity Safety Management Scheme, five yearly Bushfire Mitigation Plans (BMP) and an annual electric line clearance management plan.  </w:t>
      </w:r>
    </w:p>
    <w:p w14:paraId="14D80F4D" w14:textId="77777777" w:rsidR="00DD2A1D" w:rsidRPr="003907AC" w:rsidRDefault="00DD2A1D" w:rsidP="001B3408">
      <w:pPr>
        <w:pStyle w:val="BodyText"/>
      </w:pPr>
      <w:r w:rsidRPr="003907AC">
        <w:t>In addition, ESV conducts comprehensive public awareness safety campaigns to mitigate the risks to the community from gas and electricity emergencies.</w:t>
      </w:r>
    </w:p>
    <w:p w14:paraId="3FCFBD43" w14:textId="77777777" w:rsidR="00DD2A1D" w:rsidRPr="003907AC" w:rsidRDefault="00DD2A1D" w:rsidP="001B3408">
      <w:pPr>
        <w:pStyle w:val="BodyText"/>
        <w:rPr>
          <w:rStyle w:val="normaltextrun"/>
          <w:color w:val="006794"/>
          <w:shd w:val="clear" w:color="auto" w:fill="FFFFFF"/>
        </w:rPr>
      </w:pPr>
      <w:r w:rsidRPr="003907AC">
        <w:t>Gas and liquid fuel pipelines are regulated under</w:t>
      </w:r>
      <w:r w:rsidRPr="367F2C92">
        <w:rPr>
          <w:rStyle w:val="normaltextrun"/>
          <w:shd w:val="clear" w:color="auto" w:fill="FFFFFF"/>
        </w:rPr>
        <w:t xml:space="preserve"> the </w:t>
      </w:r>
      <w:r w:rsidRPr="367F2C92">
        <w:rPr>
          <w:rStyle w:val="normaltextrun"/>
          <w:i/>
          <w:iCs/>
          <w:shd w:val="clear" w:color="auto" w:fill="FFFFFF"/>
        </w:rPr>
        <w:t>Gas Safety Act 1997</w:t>
      </w:r>
      <w:r w:rsidRPr="367F2C92">
        <w:rPr>
          <w:rStyle w:val="normaltextrun"/>
          <w:shd w:val="clear" w:color="auto" w:fill="FFFFFF"/>
        </w:rPr>
        <w:t xml:space="preserve"> and </w:t>
      </w:r>
      <w:r w:rsidRPr="367F2C92">
        <w:rPr>
          <w:rStyle w:val="normaltextrun"/>
          <w:i/>
          <w:iCs/>
          <w:shd w:val="clear" w:color="auto" w:fill="FFFFFF"/>
        </w:rPr>
        <w:t>Pipelines Act 2005</w:t>
      </w:r>
      <w:r w:rsidRPr="367F2C92">
        <w:rPr>
          <w:rStyle w:val="normaltextrun"/>
          <w:shd w:val="clear" w:color="auto" w:fill="FFFFFF"/>
        </w:rPr>
        <w:t>. ESV and DELWP exercise regulatory powers and oversight under this legislation and associated regulations.</w:t>
      </w:r>
    </w:p>
    <w:p w14:paraId="1F9C8756" w14:textId="77777777" w:rsidR="00DD2A1D" w:rsidRPr="003907AC" w:rsidRDefault="00DD2A1D" w:rsidP="001B3408">
      <w:pPr>
        <w:pStyle w:val="BodyText"/>
        <w:rPr>
          <w:rStyle w:val="normaltextrun"/>
          <w:szCs w:val="22"/>
          <w:shd w:val="clear" w:color="auto" w:fill="FFFFFF"/>
        </w:rPr>
      </w:pPr>
      <w:r w:rsidRPr="003907AC">
        <w:rPr>
          <w:rStyle w:val="normaltextrun"/>
          <w:szCs w:val="22"/>
          <w:shd w:val="clear" w:color="auto" w:fill="FFFFFF"/>
        </w:rPr>
        <w:t>Under the Safety Case and Safety Management Plan regime, gas companies have an integrated governance structure with risk and asset management processes ensuring the integrity, safe </w:t>
      </w:r>
      <w:proofErr w:type="gramStart"/>
      <w:r w:rsidRPr="003907AC">
        <w:rPr>
          <w:rStyle w:val="normaltextrun"/>
          <w:szCs w:val="22"/>
          <w:shd w:val="clear" w:color="auto" w:fill="FFFFFF"/>
        </w:rPr>
        <w:t>operations</w:t>
      </w:r>
      <w:proofErr w:type="gramEnd"/>
      <w:r w:rsidRPr="003907AC">
        <w:rPr>
          <w:rStyle w:val="normaltextrun"/>
          <w:szCs w:val="22"/>
          <w:shd w:val="clear" w:color="auto" w:fill="FFFFFF"/>
        </w:rPr>
        <w:t xml:space="preserve"> and reliability of natural gas system from hazards and risks.  </w:t>
      </w:r>
    </w:p>
    <w:p w14:paraId="5300B978" w14:textId="77777777" w:rsidR="00DD2A1D" w:rsidRPr="003907AC" w:rsidRDefault="00DD2A1D" w:rsidP="00DD2A1D">
      <w:pPr>
        <w:pStyle w:val="Heading3"/>
        <w:rPr>
          <w:rFonts w:eastAsiaTheme="minorHAnsi"/>
          <w:lang w:eastAsia="en-US"/>
        </w:rPr>
      </w:pPr>
      <w:bookmarkStart w:id="1021" w:name="_Toc94013182"/>
      <w:r w:rsidRPr="003907AC">
        <w:rPr>
          <w:rFonts w:eastAsiaTheme="minorHAnsi"/>
          <w:lang w:eastAsia="en-US"/>
        </w:rPr>
        <w:t>Major Hazard Facilities</w:t>
      </w:r>
      <w:bookmarkEnd w:id="1021"/>
      <w:r w:rsidRPr="003907AC">
        <w:rPr>
          <w:rFonts w:eastAsiaTheme="minorHAnsi"/>
          <w:lang w:eastAsia="en-US"/>
        </w:rPr>
        <w:t xml:space="preserve"> </w:t>
      </w:r>
    </w:p>
    <w:p w14:paraId="5DD81885" w14:textId="77777777" w:rsidR="00DD2A1D" w:rsidRPr="003907AC" w:rsidRDefault="00DD2A1D" w:rsidP="001B3408">
      <w:pPr>
        <w:pStyle w:val="BodyText"/>
        <w:rPr>
          <w:rFonts w:eastAsiaTheme="minorEastAsia"/>
        </w:rPr>
      </w:pPr>
      <w:r w:rsidRPr="367F2C92">
        <w:rPr>
          <w:rFonts w:eastAsiaTheme="minorEastAsia"/>
        </w:rPr>
        <w:t xml:space="preserve">Owners/operators of the refinery, fuel terminals and LPG terminal are required to prepare a safety case to obtain and maintain a licence to operate a major hazard facility (MHF).  An MHF is an industrial site that stores, </w:t>
      </w:r>
      <w:proofErr w:type="gramStart"/>
      <w:r w:rsidRPr="367F2C92">
        <w:rPr>
          <w:rFonts w:eastAsiaTheme="minorEastAsia"/>
        </w:rPr>
        <w:t>handles</w:t>
      </w:r>
      <w:proofErr w:type="gramEnd"/>
      <w:r w:rsidRPr="367F2C92">
        <w:rPr>
          <w:rFonts w:eastAsiaTheme="minorEastAsia"/>
        </w:rPr>
        <w:t xml:space="preserve"> or processes large quantities of chemicals and dangerous goods that are essential to the state’s infrastructure through the provision of products and services. </w:t>
      </w:r>
    </w:p>
    <w:p w14:paraId="46317DAF" w14:textId="77777777" w:rsidR="00DD2A1D" w:rsidRPr="003907AC" w:rsidRDefault="00DD2A1D" w:rsidP="001B3408">
      <w:pPr>
        <w:pStyle w:val="BodyText"/>
        <w:rPr>
          <w:rFonts w:eastAsiaTheme="minorHAnsi"/>
          <w:szCs w:val="22"/>
        </w:rPr>
      </w:pPr>
      <w:r w:rsidRPr="003907AC">
        <w:rPr>
          <w:rFonts w:eastAsiaTheme="minorHAnsi"/>
        </w:rPr>
        <w:t xml:space="preserve">Under the </w:t>
      </w:r>
      <w:r w:rsidRPr="003907AC">
        <w:rPr>
          <w:rFonts w:eastAsiaTheme="minorHAnsi"/>
          <w:i/>
          <w:iCs/>
        </w:rPr>
        <w:t>Occupational Health and Safety Regulations (Part 5.2 Major Hazard Facilities)</w:t>
      </w:r>
      <w:r w:rsidRPr="003907AC">
        <w:rPr>
          <w:rFonts w:eastAsiaTheme="minorHAnsi"/>
        </w:rPr>
        <w:t xml:space="preserve"> (OHS Regulations) operators must identify and prevent or control major </w:t>
      </w:r>
      <w:r w:rsidRPr="003907AC">
        <w:rPr>
          <w:rFonts w:eastAsiaTheme="minorHAnsi"/>
          <w:szCs w:val="22"/>
        </w:rPr>
        <w:t>incidents that could occur, ensuring protection for:</w:t>
      </w:r>
    </w:p>
    <w:p w14:paraId="73AF7478" w14:textId="77777777" w:rsidR="00DD2A1D" w:rsidRPr="003907AC" w:rsidRDefault="00DD2A1D" w:rsidP="0075092B">
      <w:pPr>
        <w:pStyle w:val="ListParagraph"/>
        <w:numPr>
          <w:ilvl w:val="0"/>
          <w:numId w:val="19"/>
        </w:numPr>
        <w:rPr>
          <w:lang w:eastAsia="en-US"/>
        </w:rPr>
      </w:pPr>
      <w:r w:rsidRPr="003907AC">
        <w:rPr>
          <w:lang w:eastAsia="en-US"/>
        </w:rPr>
        <w:t>workers at the facility</w:t>
      </w:r>
    </w:p>
    <w:p w14:paraId="2D140DE4" w14:textId="77777777" w:rsidR="00DD2A1D" w:rsidRPr="003907AC" w:rsidRDefault="00DD2A1D">
      <w:pPr>
        <w:pStyle w:val="ListParagraph"/>
        <w:numPr>
          <w:ilvl w:val="0"/>
          <w:numId w:val="19"/>
        </w:numPr>
        <w:rPr>
          <w:lang w:eastAsia="en-US"/>
        </w:rPr>
      </w:pPr>
      <w:r w:rsidRPr="003907AC">
        <w:rPr>
          <w:lang w:eastAsia="en-US"/>
        </w:rPr>
        <w:t>the surrounding community</w:t>
      </w:r>
    </w:p>
    <w:p w14:paraId="7565A5B0" w14:textId="77777777" w:rsidR="00DD2A1D" w:rsidRPr="003907AC" w:rsidRDefault="00DD2A1D">
      <w:pPr>
        <w:pStyle w:val="ListParagraph"/>
        <w:numPr>
          <w:ilvl w:val="0"/>
          <w:numId w:val="19"/>
        </w:numPr>
        <w:rPr>
          <w:lang w:eastAsia="en-US"/>
        </w:rPr>
      </w:pPr>
      <w:r w:rsidRPr="003907AC">
        <w:rPr>
          <w:lang w:eastAsia="en-US"/>
        </w:rPr>
        <w:t>the infrastructure that the facility needs to keep operating safely.</w:t>
      </w:r>
    </w:p>
    <w:p w14:paraId="5792442D" w14:textId="77777777" w:rsidR="00DD2A1D" w:rsidRPr="003907AC" w:rsidRDefault="00DD2A1D" w:rsidP="001B3408">
      <w:pPr>
        <w:pStyle w:val="BodyText"/>
        <w:rPr>
          <w:rFonts w:eastAsiaTheme="minorHAnsi"/>
        </w:rPr>
      </w:pPr>
      <w:r w:rsidRPr="003907AC">
        <w:rPr>
          <w:rFonts w:eastAsiaTheme="minorHAnsi"/>
        </w:rPr>
        <w:t>In accordance with the OHS Regulations, MHF operators are required to gain a licence which responds to a safety assessment to all hazards identified.</w:t>
      </w:r>
    </w:p>
    <w:p w14:paraId="214E5A47" w14:textId="77777777" w:rsidR="00DD2A1D" w:rsidRPr="003907AC" w:rsidRDefault="00DD2A1D" w:rsidP="001B3408">
      <w:pPr>
        <w:pStyle w:val="BodyText"/>
        <w:rPr>
          <w:rFonts w:eastAsiaTheme="minorHAnsi"/>
        </w:rPr>
      </w:pPr>
      <w:r w:rsidRPr="003907AC">
        <w:rPr>
          <w:rFonts w:eastAsiaTheme="minorHAnsi"/>
        </w:rPr>
        <w:t xml:space="preserve">Under the </w:t>
      </w:r>
      <w:r w:rsidRPr="003907AC">
        <w:rPr>
          <w:rFonts w:eastAsiaTheme="minorHAnsi"/>
          <w:i/>
          <w:iCs/>
        </w:rPr>
        <w:t>Environment Protection Act 2017</w:t>
      </w:r>
      <w:r w:rsidRPr="003907AC">
        <w:rPr>
          <w:rFonts w:eastAsiaTheme="minorHAnsi"/>
        </w:rPr>
        <w:t xml:space="preserve"> (EPA Act 2017) MHFs must undertake a risk assessment of any hazards that are likely to be a risk of harm to human health and the environment and from pollution or waste.  In accordance with the EPA Act 2017 owners and operators of major hazard facilities are required to comply with and meet the General Environmental Duty (GED).</w:t>
      </w:r>
    </w:p>
    <w:p w14:paraId="55EA06CC" w14:textId="77777777" w:rsidR="00DD2A1D" w:rsidRPr="003907AC" w:rsidRDefault="00DD2A1D" w:rsidP="00DD2A1D">
      <w:pPr>
        <w:pStyle w:val="Heading2"/>
      </w:pPr>
      <w:bookmarkStart w:id="1022" w:name="_Toc90319412"/>
      <w:bookmarkStart w:id="1023" w:name="_Toc1218818765"/>
      <w:bookmarkStart w:id="1024" w:name="_Toc1145747236"/>
      <w:bookmarkStart w:id="1025" w:name="_Toc984658912"/>
      <w:bookmarkStart w:id="1026" w:name="_Toc1806610446"/>
      <w:bookmarkStart w:id="1027" w:name="_Toc1346453544"/>
      <w:bookmarkStart w:id="1028" w:name="_Toc734057855"/>
      <w:bookmarkStart w:id="1029" w:name="_Toc789320993"/>
      <w:bookmarkStart w:id="1030" w:name="_Toc1382961358"/>
      <w:bookmarkStart w:id="1031" w:name="_Toc223944583"/>
      <w:bookmarkStart w:id="1032" w:name="_Toc99572120"/>
      <w:bookmarkStart w:id="1033" w:name="_Toc20623530"/>
      <w:bookmarkStart w:id="1034" w:name="_Toc1782737293"/>
      <w:bookmarkStart w:id="1035" w:name="_Toc337633656"/>
      <w:bookmarkStart w:id="1036" w:name="_Toc1883880152"/>
      <w:bookmarkStart w:id="1037" w:name="_Toc1755767200"/>
      <w:bookmarkStart w:id="1038" w:name="_Toc2120950533"/>
      <w:bookmarkStart w:id="1039" w:name="_Toc199054949"/>
      <w:bookmarkStart w:id="1040" w:name="_Toc1654244065"/>
      <w:bookmarkStart w:id="1041" w:name="_Toc2104559048"/>
      <w:bookmarkStart w:id="1042" w:name="_Toc583410847"/>
      <w:bookmarkStart w:id="1043" w:name="_Toc822529402"/>
      <w:bookmarkStart w:id="1044" w:name="_Toc896812468"/>
      <w:bookmarkStart w:id="1045" w:name="_Toc934600652"/>
      <w:bookmarkStart w:id="1046" w:name="_Toc2049299254"/>
      <w:bookmarkStart w:id="1047" w:name="_Toc1833620220"/>
      <w:bookmarkStart w:id="1048" w:name="_Toc1805271159"/>
      <w:bookmarkStart w:id="1049" w:name="_Toc767837640"/>
      <w:bookmarkStart w:id="1050" w:name="_Toc1462769037"/>
      <w:bookmarkStart w:id="1051" w:name="_Toc5364455"/>
      <w:bookmarkStart w:id="1052" w:name="_Toc381879921"/>
      <w:bookmarkStart w:id="1053" w:name="_Toc1828755126"/>
      <w:bookmarkStart w:id="1054" w:name="_Toc1238407182"/>
      <w:bookmarkStart w:id="1055" w:name="_Toc1640013199"/>
      <w:bookmarkStart w:id="1056" w:name="_Toc325523854"/>
      <w:bookmarkStart w:id="1057" w:name="_Toc2065720276"/>
      <w:bookmarkStart w:id="1058" w:name="_Toc291755402"/>
      <w:bookmarkStart w:id="1059" w:name="_Toc1718359414"/>
      <w:bookmarkStart w:id="1060" w:name="_Toc1851966803"/>
      <w:bookmarkStart w:id="1061" w:name="_Toc909502454"/>
      <w:bookmarkStart w:id="1062" w:name="_Toc1522413300"/>
      <w:bookmarkStart w:id="1063" w:name="_Toc1074326770"/>
      <w:bookmarkStart w:id="1064" w:name="_Toc134146474"/>
      <w:bookmarkStart w:id="1065" w:name="_Toc1684452686"/>
      <w:bookmarkStart w:id="1066" w:name="_Toc1153443869"/>
      <w:bookmarkStart w:id="1067" w:name="_Toc673097963"/>
      <w:bookmarkStart w:id="1068" w:name="_Ref92437107"/>
      <w:bookmarkStart w:id="1069" w:name="_Toc94013183"/>
      <w:r>
        <w:t>Energy disruption risk assessment and management</w:t>
      </w:r>
      <w:bookmarkEnd w:id="969"/>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E139202" w14:textId="77777777" w:rsidR="00DD2A1D" w:rsidRPr="003907AC" w:rsidRDefault="00DD2A1D" w:rsidP="001B3408">
      <w:pPr>
        <w:pStyle w:val="BodyText"/>
      </w:pPr>
      <w:bookmarkStart w:id="1070" w:name="_Toc73015554"/>
      <w:bookmarkStart w:id="1071" w:name="_Toc73015590"/>
      <w:bookmarkStart w:id="1072" w:name="_Toc73541348"/>
      <w:r w:rsidRPr="367F2C92">
        <w:t xml:space="preserve">The responsibility for managing emergency risks is shared across a range of ‘risk </w:t>
      </w:r>
      <w:bookmarkStart w:id="1073" w:name="_Int_3CY8Xl7Q"/>
      <w:proofErr w:type="gramStart"/>
      <w:r w:rsidRPr="367F2C92">
        <w:t>owners’</w:t>
      </w:r>
      <w:bookmarkEnd w:id="1073"/>
      <w:proofErr w:type="gramEnd"/>
      <w:r w:rsidRPr="367F2C92">
        <w:t>.</w:t>
      </w:r>
    </w:p>
    <w:p w14:paraId="1FD51EA9" w14:textId="77777777" w:rsidR="00DD2A1D" w:rsidRPr="003907AC" w:rsidRDefault="00DD2A1D" w:rsidP="00DD2A1D">
      <w:pPr>
        <w:pStyle w:val="Heading3"/>
      </w:pPr>
      <w:bookmarkStart w:id="1074" w:name="_Toc94013184"/>
      <w:r w:rsidRPr="003907AC">
        <w:lastRenderedPageBreak/>
        <w:t>Government assessment and monitoring of energy sector risk</w:t>
      </w:r>
      <w:bookmarkEnd w:id="1074"/>
    </w:p>
    <w:p w14:paraId="52707096" w14:textId="33DD9016" w:rsidR="00DD2A1D" w:rsidRDefault="00DD2A1D" w:rsidP="32CC0482">
      <w:pPr>
        <w:pStyle w:val="BodyText"/>
      </w:pPr>
      <w:r w:rsidRPr="32CC0482" w:rsidDel="00DD2A1D">
        <w:rPr>
          <w:rFonts w:eastAsia="Arial"/>
        </w:rPr>
        <w:t xml:space="preserve">At a state level, EMV is responsible for coordinating a state-wide risk assessment that identifies the highest priority emergency risks, </w:t>
      </w:r>
      <w:proofErr w:type="gramStart"/>
      <w:r w:rsidRPr="32CC0482" w:rsidDel="00DD2A1D">
        <w:rPr>
          <w:rFonts w:eastAsia="Arial"/>
        </w:rPr>
        <w:t>controls</w:t>
      </w:r>
      <w:proofErr w:type="gramEnd"/>
      <w:r w:rsidRPr="32CC0482" w:rsidDel="00DD2A1D">
        <w:rPr>
          <w:rFonts w:eastAsia="Arial"/>
        </w:rPr>
        <w:t xml:space="preserve"> and treatments to minimise or manage the risks and consequences outlined in the </w:t>
      </w:r>
      <w:r>
        <w:fldChar w:fldCharType="begin"/>
      </w:r>
      <w:r>
        <w:fldChar w:fldCharType="separate"/>
      </w:r>
      <w:r w:rsidRPr="0098774A" w:rsidDel="00DD2A1D">
        <w:rPr>
          <w:rFonts w:eastAsia="Arial"/>
        </w:rPr>
        <w:t>Emergency Risks in Victoria</w:t>
      </w:r>
      <w:r>
        <w:rPr>
          <w:rFonts w:eastAsia="Arial"/>
        </w:rPr>
        <w:fldChar w:fldCharType="end"/>
      </w:r>
      <w:r w:rsidRPr="32CC0482" w:rsidDel="00DD2A1D">
        <w:rPr>
          <w:rFonts w:eastAsia="Arial"/>
        </w:rPr>
        <w:t xml:space="preserve"> (July 2020) report.</w:t>
      </w:r>
      <w:r w:rsidR="02ECD308" w:rsidRPr="32CC0482">
        <w:rPr>
          <w:rFonts w:eastAsia="Arial"/>
        </w:rPr>
        <w:t xml:space="preserve"> The current report identifies electricity supply disruption and gas supply disruption, which has led to the development of this sub-plan.</w:t>
      </w:r>
    </w:p>
    <w:p w14:paraId="5684DFDA" w14:textId="77777777" w:rsidR="00DD2A1D" w:rsidRPr="003907AC" w:rsidRDefault="00DD2A1D" w:rsidP="001B3408">
      <w:pPr>
        <w:pStyle w:val="BodyText"/>
      </w:pPr>
      <w:r w:rsidRPr="003907AC">
        <w:t xml:space="preserve">DELWP reviews whole of </w:t>
      </w:r>
      <w:r>
        <w:t xml:space="preserve">energy </w:t>
      </w:r>
      <w:r w:rsidRPr="003907AC">
        <w:t xml:space="preserve">sector state level risks annually as part of preparing the Sector Resilience Plan, informed by: </w:t>
      </w:r>
    </w:p>
    <w:p w14:paraId="428C95F9" w14:textId="77777777" w:rsidR="00DD2A1D" w:rsidRPr="003907AC" w:rsidRDefault="00DD2A1D" w:rsidP="0075092B">
      <w:pPr>
        <w:pStyle w:val="ListParagraph"/>
      </w:pPr>
      <w:r w:rsidRPr="003907AC">
        <w:t>advice from industry and other stakeholders</w:t>
      </w:r>
    </w:p>
    <w:p w14:paraId="26623AE3" w14:textId="77777777" w:rsidR="00DD2A1D" w:rsidRPr="003907AC" w:rsidRDefault="00DD2A1D">
      <w:pPr>
        <w:pStyle w:val="ListParagraph"/>
      </w:pPr>
      <w:r w:rsidRPr="003907AC">
        <w:t xml:space="preserve">consultation with the Energy Sector Resilience Network convened by DELWP </w:t>
      </w:r>
    </w:p>
    <w:p w14:paraId="2179F09B" w14:textId="77777777" w:rsidR="00DD2A1D" w:rsidRPr="003907AC" w:rsidRDefault="00DD2A1D">
      <w:pPr>
        <w:pStyle w:val="ListParagraph"/>
      </w:pPr>
      <w:r w:rsidRPr="003907AC">
        <w:t xml:space="preserve">consultation with Energy Sector Group Trusted Information Sharing Network (TISN) convened by the Commonwealth Government’s Department of Home Affairs </w:t>
      </w:r>
    </w:p>
    <w:p w14:paraId="5E10317D" w14:textId="77777777" w:rsidR="00DD2A1D" w:rsidRPr="003907AC" w:rsidRDefault="00DD2A1D">
      <w:pPr>
        <w:pStyle w:val="ListParagraph"/>
      </w:pPr>
      <w:r w:rsidRPr="003907AC">
        <w:t xml:space="preserve">information included in ‘vital’ energy critical infrastructure businesses’ Statements of Assurance </w:t>
      </w:r>
    </w:p>
    <w:p w14:paraId="2E4777AE" w14:textId="77777777" w:rsidR="00DD2A1D" w:rsidRPr="003907AC" w:rsidRDefault="00DD2A1D">
      <w:pPr>
        <w:pStyle w:val="ListParagraph"/>
      </w:pPr>
      <w:r w:rsidRPr="003907AC">
        <w:t xml:space="preserve">review of energy emergency events nationally and globally </w:t>
      </w:r>
    </w:p>
    <w:p w14:paraId="06C71DF0" w14:textId="77777777" w:rsidR="00DD2A1D" w:rsidRPr="003907AC" w:rsidRDefault="00DD2A1D">
      <w:pPr>
        <w:pStyle w:val="ListParagraph"/>
      </w:pPr>
      <w:r w:rsidRPr="003907AC">
        <w:t>Victorian Government state level risk management priorities and risk assessments.</w:t>
      </w:r>
    </w:p>
    <w:p w14:paraId="1FD43DDB" w14:textId="77777777" w:rsidR="00DD2A1D" w:rsidRPr="003907AC" w:rsidRDefault="00DD2A1D" w:rsidP="001B3408">
      <w:pPr>
        <w:pStyle w:val="BodyText"/>
      </w:pPr>
      <w:r w:rsidRPr="003907AC">
        <w:t>This risk assessment is with the principles set out in the National Emergency Risk Assessment Guidelines (NERAG) prepared by the Commonwealth Government’s Attorney-General’s Department, which are in turn consistent with international standard ISO31000:2018: Risk Management – Principles and Guidelines.</w:t>
      </w:r>
    </w:p>
    <w:p w14:paraId="2C55C0D8" w14:textId="77777777" w:rsidR="00DD2A1D" w:rsidRPr="003907AC" w:rsidRDefault="00DD2A1D" w:rsidP="00DD2A1D">
      <w:pPr>
        <w:pStyle w:val="Heading3"/>
      </w:pPr>
      <w:bookmarkStart w:id="1075" w:name="_Toc82350782"/>
      <w:bookmarkStart w:id="1076" w:name="_Ref92437114"/>
      <w:bookmarkStart w:id="1077" w:name="_Ref92438261"/>
      <w:bookmarkStart w:id="1078" w:name="_Toc94013185"/>
      <w:r w:rsidRPr="003907AC">
        <w:t>Energy industry risk management</w:t>
      </w:r>
      <w:bookmarkEnd w:id="1075"/>
      <w:bookmarkEnd w:id="1076"/>
      <w:bookmarkEnd w:id="1077"/>
      <w:bookmarkEnd w:id="1078"/>
      <w:r w:rsidRPr="003907AC">
        <w:t xml:space="preserve"> </w:t>
      </w:r>
    </w:p>
    <w:p w14:paraId="70D3E07A" w14:textId="77777777" w:rsidR="00DD2A1D" w:rsidRPr="003907AC" w:rsidRDefault="00DD2A1D" w:rsidP="001B3408">
      <w:pPr>
        <w:pStyle w:val="BodyText"/>
      </w:pPr>
      <w:r w:rsidRPr="003907AC">
        <w:t xml:space="preserve">Energy sector businesses are subject to broad risk management requirements. Each energy sector business identifies and manages corporate and emergency risks with respect to their own operations and infrastructure. They have their own risk management frameworks, which detail the risks, their assessments, existing controls and proposed future treatments which are applicable for them. </w:t>
      </w:r>
    </w:p>
    <w:p w14:paraId="0B57A980" w14:textId="4491B608" w:rsidR="00DD2A1D" w:rsidRPr="003907AC" w:rsidRDefault="00DD2A1D" w:rsidP="001B3408">
      <w:pPr>
        <w:pStyle w:val="BodyText"/>
        <w:rPr>
          <w:color w:val="00857E" w:themeColor="accent1" w:themeShade="BF"/>
        </w:rPr>
      </w:pPr>
      <w:r>
        <w:t xml:space="preserve">Legislation at national and state level imposes obligations upon owners and/or operators of </w:t>
      </w:r>
      <w:r w:rsidR="001E5B85">
        <w:t>the most important</w:t>
      </w:r>
      <w:r>
        <w:t xml:space="preserve"> critical infrastructure to demonstrate risk </w:t>
      </w:r>
      <w:bookmarkStart w:id="1079" w:name="_Int_7EB41WpW"/>
      <w:proofErr w:type="gramStart"/>
      <w:r>
        <w:t>assessments, and</w:t>
      </w:r>
      <w:bookmarkEnd w:id="1079"/>
      <w:proofErr w:type="gramEnd"/>
      <w:r>
        <w:t xml:space="preserve"> mitigate and prepare for emergencies.  </w:t>
      </w:r>
    </w:p>
    <w:bookmarkEnd w:id="1070"/>
    <w:bookmarkEnd w:id="1071"/>
    <w:bookmarkEnd w:id="1072"/>
    <w:p w14:paraId="2EEDB8DC" w14:textId="1111940B" w:rsidR="00177579" w:rsidRDefault="00177579" w:rsidP="00177579">
      <w:pPr>
        <w:pStyle w:val="BodyText"/>
        <w:rPr>
          <w:rFonts w:eastAsia="Arial"/>
        </w:rPr>
      </w:pPr>
      <w:r w:rsidRPr="00177579">
        <w:t>Risk management planning for critical infrastructure</w:t>
      </w:r>
      <w:r w:rsidRPr="00177579" w:rsidDel="00AE0DD6">
        <w:t xml:space="preserve"> include</w:t>
      </w:r>
      <w:r w:rsidRPr="00177579">
        <w:t>s consideration of</w:t>
      </w:r>
      <w:r w:rsidRPr="004563B8" w:rsidDel="00177579">
        <w:t xml:space="preserve"> </w:t>
      </w:r>
      <w:r w:rsidR="00DD2A1D" w:rsidRPr="004563B8">
        <w:t xml:space="preserve">physical facilities, supply chains, systems, assets, information technologies and communication networks, which if destroyed, </w:t>
      </w:r>
      <w:proofErr w:type="gramStart"/>
      <w:r w:rsidR="00DD2A1D" w:rsidRPr="004563B8">
        <w:t>degraded</w:t>
      </w:r>
      <w:proofErr w:type="gramEnd"/>
      <w:r w:rsidR="00DD2A1D" w:rsidRPr="004563B8">
        <w:t xml:space="preserve"> or rendered unavailable for an extended period, would significantly impact the Victorian community.</w:t>
      </w:r>
      <w:r w:rsidR="2F496964" w:rsidRPr="004563B8">
        <w:rPr>
          <w:rFonts w:eastAsia="Arial"/>
        </w:rPr>
        <w:t xml:space="preserve"> </w:t>
      </w:r>
    </w:p>
    <w:p w14:paraId="68A02CA9" w14:textId="77777777" w:rsidR="00DD2A1D" w:rsidRPr="003907AC" w:rsidRDefault="00DD2A1D" w:rsidP="00DD2A1D">
      <w:pPr>
        <w:rPr>
          <w:rFonts w:eastAsiaTheme="minorEastAsia"/>
          <w:color w:val="005954" w:themeColor="accent1" w:themeShade="80"/>
          <w:sz w:val="30"/>
          <w:szCs w:val="54"/>
        </w:rPr>
      </w:pPr>
      <w:r w:rsidRPr="003907AC">
        <w:rPr>
          <w:rFonts w:eastAsiaTheme="minorEastAsia"/>
        </w:rPr>
        <w:br w:type="page"/>
      </w:r>
    </w:p>
    <w:p w14:paraId="63DE48DA" w14:textId="77777777" w:rsidR="00DD2A1D" w:rsidRPr="003907AC" w:rsidRDefault="00DD2A1D" w:rsidP="00DD2A1D">
      <w:pPr>
        <w:pStyle w:val="Heading1"/>
        <w:rPr>
          <w:rFonts w:eastAsiaTheme="minorEastAsia"/>
        </w:rPr>
      </w:pPr>
      <w:bookmarkStart w:id="1080" w:name="_Toc90319413"/>
      <w:bookmarkStart w:id="1081" w:name="_Toc1820145343"/>
      <w:bookmarkStart w:id="1082" w:name="_Toc1874693172"/>
      <w:bookmarkStart w:id="1083" w:name="_Toc159122481"/>
      <w:bookmarkStart w:id="1084" w:name="_Toc897239720"/>
      <w:bookmarkStart w:id="1085" w:name="_Toc1630729155"/>
      <w:bookmarkStart w:id="1086" w:name="_Toc1517220097"/>
      <w:bookmarkStart w:id="1087" w:name="_Toc1074111178"/>
      <w:bookmarkStart w:id="1088" w:name="_Toc1530697975"/>
      <w:bookmarkStart w:id="1089" w:name="_Toc1789793793"/>
      <w:bookmarkStart w:id="1090" w:name="_Toc2057871297"/>
      <w:bookmarkStart w:id="1091" w:name="_Toc775834103"/>
      <w:bookmarkStart w:id="1092" w:name="_Toc119002031"/>
      <w:bookmarkStart w:id="1093" w:name="_Toc358268021"/>
      <w:bookmarkStart w:id="1094" w:name="_Toc2082036465"/>
      <w:bookmarkStart w:id="1095" w:name="_Toc694485384"/>
      <w:bookmarkStart w:id="1096" w:name="_Toc2002332873"/>
      <w:bookmarkStart w:id="1097" w:name="_Toc1490835505"/>
      <w:bookmarkStart w:id="1098" w:name="_Toc642014721"/>
      <w:bookmarkStart w:id="1099" w:name="_Toc2040917974"/>
      <w:bookmarkStart w:id="1100" w:name="_Toc822035358"/>
      <w:bookmarkStart w:id="1101" w:name="_Toc476376714"/>
      <w:bookmarkStart w:id="1102" w:name="_Toc241126526"/>
      <w:bookmarkStart w:id="1103" w:name="_Toc925102196"/>
      <w:bookmarkStart w:id="1104" w:name="_Toc930660161"/>
      <w:bookmarkStart w:id="1105" w:name="_Toc970497065"/>
      <w:bookmarkStart w:id="1106" w:name="_Toc613702375"/>
      <w:bookmarkStart w:id="1107" w:name="_Toc1137310458"/>
      <w:bookmarkStart w:id="1108" w:name="_Toc1614006373"/>
      <w:bookmarkStart w:id="1109" w:name="_Toc1037069985"/>
      <w:bookmarkStart w:id="1110" w:name="_Toc1628983947"/>
      <w:bookmarkStart w:id="1111" w:name="_Toc1912625566"/>
      <w:bookmarkStart w:id="1112" w:name="_Toc929467608"/>
      <w:bookmarkStart w:id="1113" w:name="_Toc481301528"/>
      <w:bookmarkStart w:id="1114" w:name="_Toc537879379"/>
      <w:bookmarkStart w:id="1115" w:name="_Toc2116383558"/>
      <w:bookmarkStart w:id="1116" w:name="_Toc2108159454"/>
      <w:bookmarkStart w:id="1117" w:name="_Toc1318283215"/>
      <w:bookmarkStart w:id="1118" w:name="_Toc120323029"/>
      <w:bookmarkStart w:id="1119" w:name="_Toc691330453"/>
      <w:bookmarkStart w:id="1120" w:name="_Toc485792806"/>
      <w:bookmarkStart w:id="1121" w:name="_Toc1345274578"/>
      <w:bookmarkStart w:id="1122" w:name="_Toc364759887"/>
      <w:bookmarkStart w:id="1123" w:name="_Toc72206467"/>
      <w:bookmarkStart w:id="1124" w:name="_Toc1810081496"/>
      <w:bookmarkStart w:id="1125" w:name="_Toc1415417050"/>
      <w:bookmarkStart w:id="1126" w:name="_Ref92436292"/>
      <w:bookmarkStart w:id="1127" w:name="_Toc94013186"/>
      <w:r w:rsidRPr="367F2C92">
        <w:rPr>
          <w:rFonts w:eastAsiaTheme="minorEastAsia"/>
        </w:rPr>
        <w:lastRenderedPageBreak/>
        <w:t>Response</w:t>
      </w:r>
      <w:bookmarkEnd w:id="970"/>
      <w:bookmarkEnd w:id="971"/>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619DBDE4" w14:textId="77777777" w:rsidR="00DD2A1D" w:rsidRPr="003907AC" w:rsidRDefault="00DD2A1D" w:rsidP="001B3408">
      <w:pPr>
        <w:pStyle w:val="BodyText"/>
      </w:pPr>
      <w:r w:rsidRPr="003907AC">
        <w:rPr>
          <w:b/>
          <w:bCs/>
        </w:rPr>
        <w:t>Response</w:t>
      </w:r>
      <w:r w:rsidRPr="003907AC">
        <w:t xml:space="preserve"> is the action taken immediately before, during and in the first period after an emergency to reduce the effects and consequences of the emergency on people, their livelihoods, </w:t>
      </w:r>
      <w:proofErr w:type="gramStart"/>
      <w:r w:rsidRPr="003907AC">
        <w:t>wellbeing</w:t>
      </w:r>
      <w:proofErr w:type="gramEnd"/>
      <w:r w:rsidRPr="003907AC">
        <w:t xml:space="preserve"> and property, on the environment and to meet basic human needs.</w:t>
      </w:r>
    </w:p>
    <w:p w14:paraId="7B8AC6D7" w14:textId="77777777" w:rsidR="00DD2A1D" w:rsidRPr="003907AC" w:rsidRDefault="00DD2A1D" w:rsidP="00DD2A1D">
      <w:pPr>
        <w:pStyle w:val="Heading2"/>
      </w:pPr>
      <w:bookmarkStart w:id="1128" w:name="_Toc90319414"/>
      <w:bookmarkStart w:id="1129" w:name="_Ref92436791"/>
      <w:bookmarkStart w:id="1130" w:name="_Toc94013187"/>
      <w:bookmarkStart w:id="1131" w:name="_Toc1281959877"/>
      <w:bookmarkStart w:id="1132" w:name="_Toc385160292"/>
      <w:bookmarkStart w:id="1133" w:name="_Toc542619667"/>
      <w:bookmarkStart w:id="1134" w:name="_Toc2019743168"/>
      <w:bookmarkStart w:id="1135" w:name="_Toc446819501"/>
      <w:bookmarkStart w:id="1136" w:name="_Toc1629920090"/>
      <w:bookmarkStart w:id="1137" w:name="_Toc1964764340"/>
      <w:bookmarkStart w:id="1138" w:name="_Toc1489437888"/>
      <w:bookmarkStart w:id="1139" w:name="_Toc771230444"/>
      <w:bookmarkStart w:id="1140" w:name="_Toc2013632538"/>
      <w:bookmarkStart w:id="1141" w:name="_Toc1320439949"/>
      <w:bookmarkStart w:id="1142" w:name="_Toc2142655235"/>
      <w:bookmarkStart w:id="1143" w:name="_Toc1012740224"/>
      <w:bookmarkStart w:id="1144" w:name="_Toc1459317980"/>
      <w:bookmarkStart w:id="1145" w:name="_Toc978440153"/>
      <w:bookmarkStart w:id="1146" w:name="_Toc628883279"/>
      <w:bookmarkStart w:id="1147" w:name="_Toc1982497646"/>
      <w:bookmarkStart w:id="1148" w:name="_Toc1372506359"/>
      <w:bookmarkStart w:id="1149" w:name="_Toc1941424624"/>
      <w:bookmarkStart w:id="1150" w:name="_Toc950915300"/>
      <w:bookmarkStart w:id="1151" w:name="_Toc1022873135"/>
      <w:bookmarkStart w:id="1152" w:name="_Toc189596263"/>
      <w:bookmarkStart w:id="1153" w:name="_Toc1774990078"/>
      <w:bookmarkStart w:id="1154" w:name="_Toc2138119717"/>
      <w:bookmarkStart w:id="1155" w:name="_Toc704782024"/>
      <w:bookmarkStart w:id="1156" w:name="_Toc186389333"/>
      <w:bookmarkStart w:id="1157" w:name="_Toc350898603"/>
      <w:bookmarkStart w:id="1158" w:name="_Toc471810746"/>
      <w:bookmarkStart w:id="1159" w:name="_Toc1743999202"/>
      <w:bookmarkStart w:id="1160" w:name="_Toc1230729619"/>
      <w:bookmarkStart w:id="1161" w:name="_Toc1562521803"/>
      <w:bookmarkStart w:id="1162" w:name="_Toc857110760"/>
      <w:bookmarkStart w:id="1163" w:name="_Toc1146451486"/>
      <w:bookmarkStart w:id="1164" w:name="_Toc1353172203"/>
      <w:bookmarkStart w:id="1165" w:name="_Toc1909457554"/>
      <w:bookmarkStart w:id="1166" w:name="_Toc903949349"/>
      <w:bookmarkStart w:id="1167" w:name="_Toc1640235671"/>
      <w:bookmarkStart w:id="1168" w:name="_Toc1824038640"/>
      <w:bookmarkStart w:id="1169" w:name="_Toc528369598"/>
      <w:bookmarkStart w:id="1170" w:name="_Toc217264764"/>
      <w:bookmarkStart w:id="1171" w:name="_Toc2100751543"/>
      <w:bookmarkStart w:id="1172" w:name="_Toc1040065605"/>
      <w:bookmarkStart w:id="1173" w:name="_Toc2108298761"/>
      <w:bookmarkStart w:id="1174" w:name="_Toc342167694"/>
      <w:bookmarkStart w:id="1175" w:name="_Toc1054677918"/>
      <w:r>
        <w:t>Roles and responsibilities</w:t>
      </w:r>
      <w:bookmarkEnd w:id="1128"/>
      <w:bookmarkEnd w:id="1129"/>
      <w:bookmarkEnd w:id="1130"/>
      <w:r>
        <w:t xml:space="preserve"> </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15FB1F58" w14:textId="77777777" w:rsidR="00DD2A1D" w:rsidRPr="003907AC" w:rsidRDefault="00DD2A1D" w:rsidP="001B3408">
      <w:pPr>
        <w:pStyle w:val="BodyText"/>
      </w:pPr>
      <w:r w:rsidRPr="003907AC">
        <w:t xml:space="preserve">Roles and responsibilities for energy emergency response and response support are set out in the SEMP Roles and Responsibilities. </w:t>
      </w:r>
    </w:p>
    <w:p w14:paraId="5DEE228C" w14:textId="77777777" w:rsidR="00DD2A1D" w:rsidRPr="003907AC" w:rsidRDefault="00DD2A1D" w:rsidP="001B3408">
      <w:pPr>
        <w:pStyle w:val="BodyText"/>
      </w:pPr>
      <w:r w:rsidRPr="003907AC">
        <w:t xml:space="preserve">Under the SEMP, DELWP is the control agency for major emergencies involving electricity, </w:t>
      </w:r>
      <w:proofErr w:type="gramStart"/>
      <w:r w:rsidRPr="003907AC">
        <w:t>gas</w:t>
      </w:r>
      <w:proofErr w:type="gramEnd"/>
      <w:r w:rsidRPr="003907AC">
        <w:t xml:space="preserve"> or liquid fuel emergencies. </w:t>
      </w:r>
    </w:p>
    <w:p w14:paraId="13B03BD0" w14:textId="77777777" w:rsidR="00DD2A1D" w:rsidRPr="003907AC" w:rsidRDefault="679868F5" w:rsidP="001B3408">
      <w:pPr>
        <w:pStyle w:val="BodyText"/>
      </w:pPr>
      <w:r>
        <w:t>The Australian Energy Market Operator (AEMO); Energy Safe Victoria (ESV) and the Department of Jobs, Precincts and Regions (DJPR) have key roles as response support agencies for energy supply disruption.</w:t>
      </w:r>
    </w:p>
    <w:p w14:paraId="7DD0AC0F" w14:textId="333E656A" w:rsidR="748B6ADC" w:rsidRDefault="748B6ADC" w:rsidP="7EA0B018">
      <w:pPr>
        <w:pStyle w:val="BodyText"/>
      </w:pPr>
      <w:r w:rsidRPr="7EA0B018">
        <w:rPr>
          <w:rFonts w:ascii="Arial" w:hAnsi="Arial"/>
        </w:rPr>
        <w:t xml:space="preserve">As the operator of the electricity and gas systems and markets in Victoria, AEMO has a range of powers to intervene those markets to prevent, mitigate and manage risks to system strength and security of supply, through to load shedding and gas curtailment. During an energy emergency, AEMO provides expert advice to DELWP about electricity and gas supply disruption; and coordinates and directs the gas and/or electricity industry to respond. </w:t>
      </w:r>
    </w:p>
    <w:p w14:paraId="1652C149" w14:textId="77777777" w:rsidR="00DD2A1D" w:rsidRPr="003907AC" w:rsidRDefault="00DD2A1D" w:rsidP="001B3408">
      <w:pPr>
        <w:pStyle w:val="BodyText"/>
        <w:rPr>
          <w:szCs w:val="22"/>
        </w:rPr>
      </w:pPr>
      <w:r w:rsidRPr="003907AC">
        <w:rPr>
          <w:szCs w:val="22"/>
        </w:rPr>
        <w:t>As the safety regulator for gas and electricity, Energy Safe Victoria provides safety and technical advice, including through technical specialists to lead investigations, and exercises emergency powers to make safe and emergency.</w:t>
      </w:r>
    </w:p>
    <w:p w14:paraId="7FCDD094" w14:textId="77777777" w:rsidR="00DD2A1D" w:rsidRPr="003907AC" w:rsidRDefault="00DD2A1D" w:rsidP="001B3408">
      <w:pPr>
        <w:pStyle w:val="BodyText"/>
        <w:rPr>
          <w:szCs w:val="22"/>
        </w:rPr>
      </w:pPr>
      <w:r w:rsidRPr="003907AC">
        <w:rPr>
          <w:szCs w:val="22"/>
        </w:rPr>
        <w:t>DJPR provides expert advice in relation to mine incidents, and petroleum/geothermal wells.</w:t>
      </w:r>
    </w:p>
    <w:p w14:paraId="15C7AD69" w14:textId="77777777" w:rsidR="00DD2A1D" w:rsidRPr="003907AC" w:rsidRDefault="00DD2A1D" w:rsidP="001B3408">
      <w:pPr>
        <w:pStyle w:val="BodyText"/>
      </w:pPr>
      <w:r w:rsidRPr="003907AC">
        <w:t xml:space="preserve">Services, </w:t>
      </w:r>
      <w:proofErr w:type="gramStart"/>
      <w:r w:rsidRPr="003907AC">
        <w:t>businesses</w:t>
      </w:r>
      <w:proofErr w:type="gramEnd"/>
      <w:r w:rsidRPr="003907AC">
        <w:t xml:space="preserve"> and industry that depend upon power, gas and liquid fuel are responsible for enacting their business continuity plans. The SEMP identifies ‘support agencies for response’ that lead liaison with different sectors to identify impact of energy supply disruption and facilitate support. These support agencies provide </w:t>
      </w:r>
      <w:r w:rsidRPr="003907AC">
        <w:rPr>
          <w:szCs w:val="22"/>
        </w:rPr>
        <w:t>information about sector impacts and risks to DELWP. DELWP coordinates and shares information about energy disruption with these support agencies to inform their planning for and delivery of sector-specific support and relief.</w:t>
      </w:r>
    </w:p>
    <w:p w14:paraId="28546180" w14:textId="77777777" w:rsidR="00DD2A1D" w:rsidRPr="003907AC" w:rsidRDefault="00DD2A1D" w:rsidP="001B3408">
      <w:pPr>
        <w:pStyle w:val="BodyText"/>
      </w:pPr>
      <w:r w:rsidRPr="003907AC">
        <w:t xml:space="preserve">As the owners and operators of energy infrastructure and supply chains, the energy industry has the primarily responsibility to respond to energy supply disruption and deliver repairs, </w:t>
      </w:r>
      <w:proofErr w:type="gramStart"/>
      <w:r w:rsidRPr="003907AC">
        <w:t>restoration</w:t>
      </w:r>
      <w:proofErr w:type="gramEnd"/>
      <w:r w:rsidRPr="003907AC">
        <w:t xml:space="preserve"> and reconnection. Industry also provides expert advice and support during energy emergencies through Energy – Emergency Management Liaison Officers.</w:t>
      </w:r>
    </w:p>
    <w:p w14:paraId="482D227F" w14:textId="77777777" w:rsidR="00DD2A1D" w:rsidRPr="003907AC" w:rsidRDefault="00DD2A1D" w:rsidP="001B3408">
      <w:pPr>
        <w:pStyle w:val="BodyText"/>
      </w:pPr>
      <w:r w:rsidRPr="003907AC">
        <w:t xml:space="preserve">DELWP delivers its control agency role within the state emergency management framework and in accordance with sector specific legislation and agreed multi-jurisdictional and state-level joint government-industry energy emergency management arrangements. </w:t>
      </w:r>
    </w:p>
    <w:p w14:paraId="0691486B" w14:textId="77777777" w:rsidR="00DD2A1D" w:rsidRPr="003907AC" w:rsidRDefault="00DD2A1D" w:rsidP="001B3408">
      <w:pPr>
        <w:pStyle w:val="BodyText"/>
        <w:rPr>
          <w:color w:val="006794"/>
          <w:sz w:val="24"/>
          <w:szCs w:val="30"/>
        </w:rPr>
      </w:pPr>
      <w:bookmarkStart w:id="1176" w:name="_Toc82274503"/>
      <w:bookmarkStart w:id="1177" w:name="_Toc82350793"/>
      <w:r w:rsidRPr="003907AC">
        <w:br w:type="page"/>
      </w:r>
    </w:p>
    <w:p w14:paraId="0E93E207" w14:textId="77777777" w:rsidR="00DD2A1D" w:rsidRPr="003907AC" w:rsidRDefault="00DD2A1D" w:rsidP="00DD2A1D">
      <w:pPr>
        <w:pStyle w:val="Heading2"/>
      </w:pPr>
      <w:bookmarkStart w:id="1178" w:name="_Toc90319415"/>
      <w:bookmarkStart w:id="1179" w:name="_Toc94013188"/>
      <w:bookmarkStart w:id="1180" w:name="_Toc1141279769"/>
      <w:bookmarkStart w:id="1181" w:name="_Toc1899372941"/>
      <w:bookmarkStart w:id="1182" w:name="_Toc92242357"/>
      <w:bookmarkStart w:id="1183" w:name="_Toc849611092"/>
      <w:bookmarkStart w:id="1184" w:name="_Toc1150906885"/>
      <w:bookmarkStart w:id="1185" w:name="_Toc28294011"/>
      <w:bookmarkStart w:id="1186" w:name="_Toc77545921"/>
      <w:bookmarkStart w:id="1187" w:name="_Toc1897200843"/>
      <w:bookmarkStart w:id="1188" w:name="_Toc470122123"/>
      <w:bookmarkStart w:id="1189" w:name="_Toc532310368"/>
      <w:bookmarkStart w:id="1190" w:name="_Toc1294078761"/>
      <w:bookmarkStart w:id="1191" w:name="_Toc376981451"/>
      <w:bookmarkStart w:id="1192" w:name="_Toc1261745962"/>
      <w:bookmarkStart w:id="1193" w:name="_Toc216415790"/>
      <w:bookmarkStart w:id="1194" w:name="_Toc1083440411"/>
      <w:bookmarkStart w:id="1195" w:name="_Toc1473737041"/>
      <w:bookmarkStart w:id="1196" w:name="_Toc1004610164"/>
      <w:bookmarkStart w:id="1197" w:name="_Toc2101182946"/>
      <w:bookmarkStart w:id="1198" w:name="_Toc1065729652"/>
      <w:bookmarkStart w:id="1199" w:name="_Toc1244295870"/>
      <w:bookmarkStart w:id="1200" w:name="_Toc1107021418"/>
      <w:bookmarkStart w:id="1201" w:name="_Toc1525746072"/>
      <w:bookmarkStart w:id="1202" w:name="_Toc2023362715"/>
      <w:bookmarkStart w:id="1203" w:name="_Toc207893275"/>
      <w:bookmarkStart w:id="1204" w:name="_Toc352790995"/>
      <w:bookmarkStart w:id="1205" w:name="_Toc599593799"/>
      <w:bookmarkStart w:id="1206" w:name="_Toc113176805"/>
      <w:bookmarkStart w:id="1207" w:name="_Toc1964645581"/>
      <w:bookmarkStart w:id="1208" w:name="_Toc966781985"/>
      <w:bookmarkStart w:id="1209" w:name="_Toc228839992"/>
      <w:bookmarkStart w:id="1210" w:name="_Toc1056008717"/>
      <w:bookmarkStart w:id="1211" w:name="_Toc1379081599"/>
      <w:bookmarkStart w:id="1212" w:name="_Toc865037489"/>
      <w:bookmarkStart w:id="1213" w:name="_Toc899680656"/>
      <w:bookmarkStart w:id="1214" w:name="_Toc1228538885"/>
      <w:bookmarkStart w:id="1215" w:name="_Toc1405377167"/>
      <w:bookmarkStart w:id="1216" w:name="_Toc2127608399"/>
      <w:bookmarkStart w:id="1217" w:name="_Toc97963764"/>
      <w:bookmarkStart w:id="1218" w:name="_Toc2139792058"/>
      <w:bookmarkStart w:id="1219" w:name="_Toc356428911"/>
      <w:bookmarkStart w:id="1220" w:name="_Toc2104165041"/>
      <w:bookmarkStart w:id="1221" w:name="_Toc1602353324"/>
      <w:bookmarkStart w:id="1222" w:name="_Toc1664747242"/>
      <w:bookmarkStart w:id="1223" w:name="_Toc1063589367"/>
      <w:bookmarkStart w:id="1224" w:name="_Toc350534225"/>
      <w:r>
        <w:lastRenderedPageBreak/>
        <w:t>Operation of multi-jurisdictional and state-level joint government-industry energy emergency management arrangements</w:t>
      </w:r>
      <w:bookmarkEnd w:id="1178"/>
      <w:bookmarkEnd w:id="1179"/>
      <w:r>
        <w:t xml:space="preserve"> </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5A52E003" w14:textId="77777777" w:rsidR="00DD2A1D" w:rsidRPr="003907AC" w:rsidRDefault="00DD2A1D" w:rsidP="001B3408">
      <w:pPr>
        <w:pStyle w:val="BodyText"/>
      </w:pPr>
      <w:r w:rsidRPr="003907AC">
        <w:t xml:space="preserve">Energy emergencies are managed in accordance with established multi-jurisdictional and joint government-industry emergency management arrangements as required. </w:t>
      </w:r>
    </w:p>
    <w:p w14:paraId="3868B925" w14:textId="77777777" w:rsidR="00DD2A1D" w:rsidRPr="003907AC" w:rsidRDefault="00DD2A1D" w:rsidP="001B3408">
      <w:pPr>
        <w:pStyle w:val="BodyText"/>
      </w:pPr>
      <w:r w:rsidRPr="003907AC">
        <w:t xml:space="preserve">Multi-jurisdictional and state-level joint government-industry energy emergency management arrangements are underpinned by agreements between Australian state and territory governments and industry about the management and response to energy disruptions. </w:t>
      </w:r>
    </w:p>
    <w:p w14:paraId="2493830E" w14:textId="77777777" w:rsidR="00DD2A1D" w:rsidRPr="003907AC" w:rsidRDefault="00DD2A1D" w:rsidP="001B3408">
      <w:pPr>
        <w:pStyle w:val="BodyText"/>
      </w:pPr>
      <w:r w:rsidRPr="003907AC">
        <w:t xml:space="preserve">These arrangements are delivered by governance bodies who oversee planning, </w:t>
      </w:r>
      <w:proofErr w:type="gramStart"/>
      <w:r w:rsidRPr="003907AC">
        <w:t>preparedness</w:t>
      </w:r>
      <w:proofErr w:type="gramEnd"/>
      <w:r w:rsidRPr="003907AC">
        <w:t xml:space="preserve"> and response for each sector (electricity, gas and liquid fuels).</w:t>
      </w:r>
    </w:p>
    <w:p w14:paraId="4A1775EB" w14:textId="77777777" w:rsidR="00DD2A1D" w:rsidRPr="003907AC" w:rsidRDefault="00DD2A1D" w:rsidP="001B3408">
      <w:pPr>
        <w:pStyle w:val="BodyText"/>
      </w:pPr>
      <w:r w:rsidRPr="003907AC">
        <w:t xml:space="preserve">Multi-jurisdictional and state-level arrangements are independent of each other and can be activated concurrently. Mechanisms provide for information sharing and coordination between the two sets of arrangement for each energy sector. </w:t>
      </w:r>
    </w:p>
    <w:p w14:paraId="01139D4E" w14:textId="77777777" w:rsidR="00DD2A1D" w:rsidRPr="003907AC" w:rsidRDefault="00DD2A1D" w:rsidP="001B3408">
      <w:pPr>
        <w:pStyle w:val="BodyText"/>
      </w:pPr>
      <w:r w:rsidRPr="003907AC">
        <w:t xml:space="preserve">These arrangements support timely and consistent intelligence gathering, risk assessment and information sharing, and enable more effective coordination of response, </w:t>
      </w:r>
      <w:proofErr w:type="gramStart"/>
      <w:r w:rsidRPr="003907AC">
        <w:t>relief</w:t>
      </w:r>
      <w:proofErr w:type="gramEnd"/>
      <w:r w:rsidRPr="003907AC">
        <w:t xml:space="preserve"> and recovery.</w:t>
      </w:r>
    </w:p>
    <w:p w14:paraId="68866026" w14:textId="77777777" w:rsidR="00DD2A1D" w:rsidRPr="003907AC" w:rsidRDefault="00DD2A1D" w:rsidP="001B3408">
      <w:pPr>
        <w:pStyle w:val="BodyText"/>
      </w:pPr>
      <w:r w:rsidRPr="003907AC">
        <w:t xml:space="preserve">These arrangements complement the roles and responsibilities as defined in the </w:t>
      </w:r>
      <w:r w:rsidRPr="003907AC">
        <w:rPr>
          <w:i/>
          <w:iCs/>
        </w:rPr>
        <w:t>Emergency Management Act</w:t>
      </w:r>
      <w:r w:rsidRPr="003907AC">
        <w:t xml:space="preserve">, the </w:t>
      </w:r>
      <w:proofErr w:type="gramStart"/>
      <w:r w:rsidRPr="003907AC">
        <w:t>SEMP</w:t>
      </w:r>
      <w:proofErr w:type="gramEnd"/>
      <w:r w:rsidRPr="003907AC">
        <w:t xml:space="preserve"> and this sub-plan.</w:t>
      </w:r>
    </w:p>
    <w:p w14:paraId="06236F18" w14:textId="77777777" w:rsidR="00DD2A1D" w:rsidRPr="003907AC" w:rsidRDefault="00DD2A1D" w:rsidP="001B3408">
      <w:pPr>
        <w:pStyle w:val="BodyText"/>
      </w:pPr>
      <w:r w:rsidRPr="003907AC">
        <w:t xml:space="preserve">See </w:t>
      </w:r>
      <w:r w:rsidRPr="003907AC">
        <w:rPr>
          <w:b/>
          <w:bCs/>
        </w:rPr>
        <w:t>Appendix B</w:t>
      </w:r>
      <w:r w:rsidRPr="003907AC">
        <w:t xml:space="preserve"> for a summary of multi-jurisdictional and joint government-industry emergency management arrangements.</w:t>
      </w:r>
    </w:p>
    <w:p w14:paraId="1869B022" w14:textId="77777777" w:rsidR="00DD2A1D" w:rsidRPr="003907AC" w:rsidRDefault="00DD2A1D" w:rsidP="00DD2A1D">
      <w:pPr>
        <w:pStyle w:val="Heading2"/>
      </w:pPr>
      <w:bookmarkStart w:id="1225" w:name="_Toc90319416"/>
      <w:bookmarkStart w:id="1226" w:name="_Toc94013189"/>
      <w:bookmarkStart w:id="1227" w:name="_Toc915125284"/>
      <w:bookmarkStart w:id="1228" w:name="_Toc1834319338"/>
      <w:bookmarkStart w:id="1229" w:name="_Toc1810331076"/>
      <w:bookmarkStart w:id="1230" w:name="_Toc250163022"/>
      <w:bookmarkStart w:id="1231" w:name="_Toc1522043474"/>
      <w:bookmarkStart w:id="1232" w:name="_Toc1024393866"/>
      <w:bookmarkStart w:id="1233" w:name="_Toc1013856191"/>
      <w:bookmarkStart w:id="1234" w:name="_Toc1015738156"/>
      <w:bookmarkStart w:id="1235" w:name="_Toc519889914"/>
      <w:bookmarkStart w:id="1236" w:name="_Toc1682057218"/>
      <w:bookmarkStart w:id="1237" w:name="_Toc1953797494"/>
      <w:bookmarkStart w:id="1238" w:name="_Toc734553248"/>
      <w:bookmarkStart w:id="1239" w:name="_Toc1234018392"/>
      <w:bookmarkStart w:id="1240" w:name="_Toc630110589"/>
      <w:bookmarkStart w:id="1241" w:name="_Toc812849624"/>
      <w:bookmarkStart w:id="1242" w:name="_Toc330252456"/>
      <w:bookmarkStart w:id="1243" w:name="_Toc1816900401"/>
      <w:bookmarkStart w:id="1244" w:name="_Toc1883158486"/>
      <w:bookmarkStart w:id="1245" w:name="_Toc1880261393"/>
      <w:bookmarkStart w:id="1246" w:name="_Toc798458145"/>
      <w:bookmarkStart w:id="1247" w:name="_Toc992377360"/>
      <w:bookmarkStart w:id="1248" w:name="_Toc83572380"/>
      <w:bookmarkStart w:id="1249" w:name="_Toc329280346"/>
      <w:bookmarkStart w:id="1250" w:name="_Toc978736519"/>
      <w:bookmarkStart w:id="1251" w:name="_Toc679062328"/>
      <w:bookmarkStart w:id="1252" w:name="_Toc1491512344"/>
      <w:bookmarkStart w:id="1253" w:name="_Toc341772201"/>
      <w:bookmarkStart w:id="1254" w:name="_Toc2067123441"/>
      <w:bookmarkStart w:id="1255" w:name="_Toc311623836"/>
      <w:bookmarkStart w:id="1256" w:name="_Toc1338080156"/>
      <w:bookmarkStart w:id="1257" w:name="_Toc2089385737"/>
      <w:bookmarkStart w:id="1258" w:name="_Toc1136929898"/>
      <w:bookmarkStart w:id="1259" w:name="_Toc710433019"/>
      <w:bookmarkStart w:id="1260" w:name="_Toc571586221"/>
      <w:bookmarkStart w:id="1261" w:name="_Toc1652895774"/>
      <w:bookmarkStart w:id="1262" w:name="_Toc1170055784"/>
      <w:bookmarkStart w:id="1263" w:name="_Toc310711782"/>
      <w:bookmarkStart w:id="1264" w:name="_Toc788538628"/>
      <w:bookmarkStart w:id="1265" w:name="_Toc1048618868"/>
      <w:bookmarkStart w:id="1266" w:name="_Toc667848182"/>
      <w:bookmarkStart w:id="1267" w:name="_Toc608643452"/>
      <w:bookmarkStart w:id="1268" w:name="_Toc355282579"/>
      <w:bookmarkStart w:id="1269" w:name="_Toc1451104010"/>
      <w:bookmarkStart w:id="1270" w:name="_Toc1816572307"/>
      <w:bookmarkStart w:id="1271" w:name="_Toc2041679475"/>
      <w:r>
        <w:t>Readiness</w:t>
      </w:r>
      <w:bookmarkEnd w:id="1225"/>
      <w:bookmarkEnd w:id="1226"/>
      <w:r>
        <w:t xml:space="preserve"> </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2996B59C" w14:textId="77777777" w:rsidR="00DD2A1D" w:rsidRPr="003907AC" w:rsidRDefault="00DD2A1D" w:rsidP="001B3408">
      <w:pPr>
        <w:pStyle w:val="BodyText"/>
      </w:pPr>
      <w:r w:rsidRPr="003907AC">
        <w:t xml:space="preserve">DELWP continually monitors risks to energy supply disruption. DELWP bases its readiness on triggers and assessment of forward look of risk </w:t>
      </w:r>
      <w:r>
        <w:t>including</w:t>
      </w:r>
      <w:r w:rsidRPr="003907AC">
        <w:t xml:space="preserve"> forecasts of weather </w:t>
      </w:r>
      <w:r>
        <w:t>and</w:t>
      </w:r>
      <w:r w:rsidRPr="003907AC">
        <w:t xml:space="preserve"> energy system supply and demand.</w:t>
      </w:r>
    </w:p>
    <w:p w14:paraId="15C1F06D" w14:textId="77777777" w:rsidR="00DD2A1D" w:rsidRPr="003907AC" w:rsidRDefault="00DD2A1D" w:rsidP="001B3408">
      <w:pPr>
        <w:pStyle w:val="BodyText"/>
      </w:pPr>
      <w:r>
        <w:t xml:space="preserve">The Energy Emergency Duty Officer (EEDO) is rostered year-round to provide an all hours a primary point of contact between industry and government via phone support. </w:t>
      </w:r>
    </w:p>
    <w:p w14:paraId="4C313567" w14:textId="77777777" w:rsidR="00DD2A1D" w:rsidRPr="003907AC" w:rsidRDefault="00DD2A1D" w:rsidP="001B3408">
      <w:pPr>
        <w:pStyle w:val="BodyText"/>
      </w:pPr>
      <w:r>
        <w:t>AEMO produces forecasts for the day-to-day operations of the National Electricity Market (NEM) covering forecasts for the eight days ahead. These include forecasts for intermittent renewable generation for wind and solar, as well as electricity load forecasts. Operational forecasts are critical inputs into the projected assessment of system adequacy, which is essential for maintaining power system security. AEMO runs year-round, 24-hour operations to manage the national electricity market and are constantly monitoring the system to ensure security of supply and system strength.</w:t>
      </w:r>
    </w:p>
    <w:p w14:paraId="16DA85EA" w14:textId="77777777" w:rsidR="00DD2A1D" w:rsidRPr="003907AC" w:rsidRDefault="679868F5" w:rsidP="001B3408">
      <w:pPr>
        <w:pStyle w:val="BodyText"/>
      </w:pPr>
      <w:r>
        <w:t>Electricity network and generator businesses are constantly monitoring their assets to ensure safe and effective operations.</w:t>
      </w:r>
    </w:p>
    <w:p w14:paraId="5C85959E" w14:textId="1FE21E35" w:rsidR="58EFB065" w:rsidRDefault="58EFB065" w:rsidP="7EA0B018">
      <w:pPr>
        <w:pStyle w:val="BodyText"/>
      </w:pPr>
      <w:r w:rsidRPr="7EA0B018">
        <w:rPr>
          <w:rFonts w:ascii="Arial" w:hAnsi="Arial"/>
        </w:rPr>
        <w:t xml:space="preserve">AEMO provides planning and forecasting information to support efficient decision-making and long-term investment in Australia's gas markets and infrastructure services. AEMO also publish Victorian Gas Planning Report which informs market participants and government about gas transmission capacity changes that impact security and reliability in the Victorian Gas Declared Transmission System (DTS). AEMO runs year-round, 24-hour operations of the DTS to ensure its safe and effective </w:t>
      </w:r>
      <w:proofErr w:type="gramStart"/>
      <w:r w:rsidRPr="7EA0B018">
        <w:rPr>
          <w:rFonts w:ascii="Arial" w:hAnsi="Arial"/>
        </w:rPr>
        <w:t>operation, and</w:t>
      </w:r>
      <w:proofErr w:type="gramEnd"/>
      <w:r w:rsidRPr="7EA0B018">
        <w:rPr>
          <w:rFonts w:ascii="Arial" w:hAnsi="Arial"/>
        </w:rPr>
        <w:t xml:space="preserve"> schedules the Victorian Declared Wholesale Gas Market (DWGM).</w:t>
      </w:r>
    </w:p>
    <w:p w14:paraId="003867E9" w14:textId="4CC9B5E0" w:rsidR="58EFB065" w:rsidRDefault="58EFB065" w:rsidP="7EA0B018">
      <w:pPr>
        <w:pStyle w:val="BodyText"/>
        <w:rPr>
          <w:rFonts w:ascii="Arial" w:hAnsi="Arial"/>
        </w:rPr>
      </w:pPr>
      <w:r w:rsidRPr="7EA0B018">
        <w:rPr>
          <w:rFonts w:ascii="Arial" w:hAnsi="Arial"/>
        </w:rPr>
        <w:t>Gas pipeline operators, storage, distributors, and producers operate and constantly monitoring their equipment and systems to ensure safe and effective operations.</w:t>
      </w:r>
    </w:p>
    <w:p w14:paraId="36ECA45F" w14:textId="6724E806" w:rsidR="58EFB065" w:rsidRDefault="58EFB065" w:rsidP="7EA0B018">
      <w:pPr>
        <w:pStyle w:val="BodyText"/>
        <w:rPr>
          <w:rFonts w:ascii="Arial" w:hAnsi="Arial"/>
        </w:rPr>
      </w:pPr>
      <w:r w:rsidRPr="7EA0B018">
        <w:rPr>
          <w:rFonts w:ascii="Arial" w:hAnsi="Arial"/>
        </w:rPr>
        <w:t xml:space="preserve">Stocks and usage of liquid fuels are regularly monitored by liquid fuel companies who report regularly to the Commonwealth Government, advising of stocks of a range of commonly used liquid fuels, and current sales statistics. The Commonwealth Government collates and publishes these statistics monthly. Liquid fuel pipeline, storage, distributors, and the refinery are constantly monitoring their systems to ensure safe and effective operations. </w:t>
      </w:r>
    </w:p>
    <w:p w14:paraId="4F2EF12E" w14:textId="77777777" w:rsidR="00DD2A1D" w:rsidRPr="003907AC" w:rsidRDefault="00DD2A1D" w:rsidP="00DD2A1D">
      <w:pPr>
        <w:pStyle w:val="Heading2"/>
      </w:pPr>
      <w:bookmarkStart w:id="1272" w:name="_Toc90319417"/>
      <w:bookmarkStart w:id="1273" w:name="_Ref92436803"/>
      <w:bookmarkStart w:id="1274" w:name="_Toc94013190"/>
      <w:bookmarkStart w:id="1275" w:name="_Toc124665344"/>
      <w:bookmarkStart w:id="1276" w:name="_Toc582518950"/>
      <w:bookmarkStart w:id="1277" w:name="_Toc565315939"/>
      <w:bookmarkStart w:id="1278" w:name="_Toc1370929458"/>
      <w:bookmarkStart w:id="1279" w:name="_Toc1829045696"/>
      <w:bookmarkStart w:id="1280" w:name="_Toc1737428468"/>
      <w:bookmarkStart w:id="1281" w:name="_Toc685742390"/>
      <w:bookmarkStart w:id="1282" w:name="_Toc884821560"/>
      <w:bookmarkStart w:id="1283" w:name="_Toc931883025"/>
      <w:bookmarkStart w:id="1284" w:name="_Toc118392320"/>
      <w:bookmarkStart w:id="1285" w:name="_Toc2045436445"/>
      <w:bookmarkStart w:id="1286" w:name="_Toc667027236"/>
      <w:bookmarkStart w:id="1287" w:name="_Toc1808482397"/>
      <w:bookmarkStart w:id="1288" w:name="_Toc623010085"/>
      <w:bookmarkStart w:id="1289" w:name="_Toc703252259"/>
      <w:bookmarkStart w:id="1290" w:name="_Toc96670041"/>
      <w:bookmarkStart w:id="1291" w:name="_Toc1612917164"/>
      <w:bookmarkStart w:id="1292" w:name="_Toc879997868"/>
      <w:bookmarkStart w:id="1293" w:name="_Toc789022446"/>
      <w:bookmarkStart w:id="1294" w:name="_Toc280610425"/>
      <w:bookmarkStart w:id="1295" w:name="_Toc320647561"/>
      <w:bookmarkStart w:id="1296" w:name="_Toc110705173"/>
      <w:bookmarkStart w:id="1297" w:name="_Toc646788222"/>
      <w:bookmarkStart w:id="1298" w:name="_Toc805603832"/>
      <w:bookmarkStart w:id="1299" w:name="_Toc504804716"/>
      <w:bookmarkStart w:id="1300" w:name="_Toc496533156"/>
      <w:bookmarkStart w:id="1301" w:name="_Toc1883620723"/>
      <w:bookmarkStart w:id="1302" w:name="_Toc1706045339"/>
      <w:bookmarkStart w:id="1303" w:name="_Toc1527425060"/>
      <w:bookmarkStart w:id="1304" w:name="_Toc1437309099"/>
      <w:bookmarkStart w:id="1305" w:name="_Toc455525549"/>
      <w:bookmarkStart w:id="1306" w:name="_Toc34767118"/>
      <w:bookmarkStart w:id="1307" w:name="_Toc1706776634"/>
      <w:bookmarkStart w:id="1308" w:name="_Toc219926650"/>
      <w:bookmarkStart w:id="1309" w:name="_Toc977248712"/>
      <w:bookmarkStart w:id="1310" w:name="_Toc340211364"/>
      <w:bookmarkStart w:id="1311" w:name="_Toc2083571040"/>
      <w:bookmarkStart w:id="1312" w:name="_Toc104230373"/>
      <w:bookmarkStart w:id="1313" w:name="_Toc226163456"/>
      <w:bookmarkStart w:id="1314" w:name="_Toc698564164"/>
      <w:bookmarkStart w:id="1315" w:name="_Toc823324195"/>
      <w:bookmarkStart w:id="1316" w:name="_Toc1405899463"/>
      <w:bookmarkStart w:id="1317" w:name="_Toc890173241"/>
      <w:bookmarkStart w:id="1318" w:name="_Toc468650370"/>
      <w:bookmarkStart w:id="1319" w:name="_Toc1586927318"/>
      <w:r>
        <w:lastRenderedPageBreak/>
        <w:t>Control arrangements</w:t>
      </w:r>
      <w:bookmarkEnd w:id="1272"/>
      <w:bookmarkEnd w:id="1273"/>
      <w:bookmarkEnd w:id="1274"/>
      <w:r>
        <w:t xml:space="preserve">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56E74388" w14:textId="31E90EFA" w:rsidR="00DD2A1D" w:rsidRPr="003907AC" w:rsidRDefault="00DD2A1D" w:rsidP="001B3408">
      <w:pPr>
        <w:pStyle w:val="BodyText"/>
      </w:pPr>
      <w:r w:rsidRPr="003907AC">
        <w:t>The Secretary</w:t>
      </w:r>
      <w:r w:rsidR="009C3778">
        <w:t>,</w:t>
      </w:r>
      <w:r w:rsidRPr="003907AC">
        <w:t xml:space="preserve"> DELWP is the Control Agency Officer in Charge</w:t>
      </w:r>
      <w:r>
        <w:t xml:space="preserve"> for an energy emergency</w:t>
      </w:r>
      <w:r w:rsidRPr="003907AC">
        <w:t>. The Secretary may, in consultation with the Emergency Management Commissioner, appoint a State Controller – Energy.</w:t>
      </w:r>
    </w:p>
    <w:p w14:paraId="01169FBD" w14:textId="77777777" w:rsidR="00DD2A1D" w:rsidRPr="003907AC" w:rsidRDefault="00DD2A1D" w:rsidP="001B3408">
      <w:pPr>
        <w:pStyle w:val="BodyText"/>
      </w:pPr>
      <w:r w:rsidRPr="003907AC">
        <w:t xml:space="preserve">The Secretary (or State Controller – Energy if appointed) directs the </w:t>
      </w:r>
      <w:r>
        <w:t xml:space="preserve">government </w:t>
      </w:r>
      <w:r w:rsidRPr="003907AC">
        <w:t xml:space="preserve">response, including coordinating and </w:t>
      </w:r>
      <w:r>
        <w:t>with</w:t>
      </w:r>
      <w:r w:rsidRPr="003907AC">
        <w:t xml:space="preserve"> other government agencies.</w:t>
      </w:r>
    </w:p>
    <w:p w14:paraId="5BFAB547" w14:textId="77777777" w:rsidR="00DD2A1D" w:rsidRPr="003907AC" w:rsidRDefault="00DD2A1D" w:rsidP="001B3408">
      <w:pPr>
        <w:pStyle w:val="BodyText"/>
      </w:pPr>
      <w:r w:rsidRPr="003907AC">
        <w:t>The Secretary may transfer control to any other officer from another agency, with consent of the officer in charge of that agency.</w:t>
      </w:r>
    </w:p>
    <w:p w14:paraId="3C0957A9" w14:textId="77777777" w:rsidR="00DD2A1D" w:rsidRPr="003907AC" w:rsidRDefault="00DD2A1D" w:rsidP="00DD2A1D">
      <w:pPr>
        <w:pStyle w:val="Heading3"/>
      </w:pPr>
      <w:bookmarkStart w:id="1320" w:name="_Ref92436906"/>
      <w:bookmarkStart w:id="1321" w:name="_Ref92436938"/>
      <w:bookmarkStart w:id="1322" w:name="_Toc94013191"/>
      <w:r w:rsidRPr="003907AC">
        <w:t>The State Controller – Energy</w:t>
      </w:r>
      <w:bookmarkEnd w:id="1320"/>
      <w:bookmarkEnd w:id="1321"/>
      <w:bookmarkEnd w:id="1322"/>
    </w:p>
    <w:p w14:paraId="4D74BECB" w14:textId="77777777" w:rsidR="00DD2A1D" w:rsidRPr="003907AC" w:rsidRDefault="00DD2A1D" w:rsidP="001B3408">
      <w:pPr>
        <w:pStyle w:val="BodyText"/>
      </w:pPr>
      <w:r w:rsidRPr="003907AC">
        <w:t>The role of a Class 2 Emergency State Controller is defined in the SEMP.</w:t>
      </w:r>
    </w:p>
    <w:p w14:paraId="12C847C4" w14:textId="77777777" w:rsidR="00DD2A1D" w:rsidRPr="003907AC" w:rsidRDefault="00DD2A1D" w:rsidP="001B3408">
      <w:pPr>
        <w:pStyle w:val="BodyText"/>
      </w:pPr>
      <w:r w:rsidRPr="003907AC">
        <w:t>The State Controller – Energy reports directly to the Secretary DELWP (as the Control Agency Officer in Charge).</w:t>
      </w:r>
    </w:p>
    <w:p w14:paraId="2875F1C3" w14:textId="77777777" w:rsidR="00DD2A1D" w:rsidRPr="003907AC" w:rsidRDefault="00DD2A1D" w:rsidP="001B3408">
      <w:pPr>
        <w:pStyle w:val="BodyText"/>
      </w:pPr>
      <w:r w:rsidRPr="003907AC">
        <w:t xml:space="preserve">The State Controller – Energy is responsible to establish a management structure for the emergency as appropriate and monitor it to ensure it continues to be effective. </w:t>
      </w:r>
    </w:p>
    <w:p w14:paraId="4FC88B39" w14:textId="66B05C68" w:rsidR="00DD2A1D" w:rsidRPr="003907AC" w:rsidRDefault="00AA55C0" w:rsidP="001B3408">
      <w:pPr>
        <w:pStyle w:val="BodyText"/>
        <w:rPr>
          <w:szCs w:val="22"/>
        </w:rPr>
      </w:pPr>
      <w:r>
        <w:rPr>
          <w:szCs w:val="22"/>
        </w:rPr>
        <w:t>In summary, t</w:t>
      </w:r>
      <w:r w:rsidR="00DD2A1D" w:rsidRPr="003907AC">
        <w:rPr>
          <w:szCs w:val="22"/>
        </w:rPr>
        <w:t>he State Controller – Energy:</w:t>
      </w:r>
    </w:p>
    <w:p w14:paraId="5B91EB30" w14:textId="77777777" w:rsidR="00DD2A1D" w:rsidRPr="003907AC" w:rsidRDefault="00DD2A1D" w:rsidP="0075092B">
      <w:pPr>
        <w:pStyle w:val="ListParagraph"/>
      </w:pPr>
      <w:r w:rsidRPr="003907AC">
        <w:t xml:space="preserve">develops and coordinates implementation of strategic plan for managing the energy emergency </w:t>
      </w:r>
    </w:p>
    <w:p w14:paraId="07F87658" w14:textId="77777777" w:rsidR="00DD2A1D" w:rsidRPr="003907AC" w:rsidRDefault="00DD2A1D">
      <w:pPr>
        <w:pStyle w:val="ListParagraph"/>
      </w:pPr>
      <w:r w:rsidRPr="003907AC">
        <w:t xml:space="preserve">works with the Emergency Management Commissioner (EMC) to establish the State Control Team (SCT), and chairs the SCT established in support of the energy emergency (or works alongside the other state-tier controllers if appointed) </w:t>
      </w:r>
    </w:p>
    <w:p w14:paraId="61E0C2A4" w14:textId="3B9C277A" w:rsidR="00DD2A1D" w:rsidRPr="003907AC" w:rsidRDefault="00DD2A1D">
      <w:pPr>
        <w:pStyle w:val="ListParagraph"/>
      </w:pPr>
      <w:r w:rsidRPr="003907AC">
        <w:t xml:space="preserve">participates in the State Emergency Management Team </w:t>
      </w:r>
      <w:r w:rsidR="00AF7D3F">
        <w:t>(SEMT)</w:t>
      </w:r>
      <w:r w:rsidRPr="003907AC">
        <w:t xml:space="preserve">  </w:t>
      </w:r>
    </w:p>
    <w:p w14:paraId="06980205" w14:textId="77777777" w:rsidR="00DD2A1D" w:rsidRPr="003907AC" w:rsidRDefault="00DD2A1D">
      <w:pPr>
        <w:pStyle w:val="ListParagraph"/>
      </w:pPr>
      <w:r w:rsidRPr="003907AC">
        <w:t xml:space="preserve">gives directions to Regional Controllers and/or Incident Controllers as necessary </w:t>
      </w:r>
    </w:p>
    <w:p w14:paraId="109237A3" w14:textId="77777777" w:rsidR="00DD2A1D" w:rsidRPr="003907AC" w:rsidRDefault="00DD2A1D">
      <w:pPr>
        <w:pStyle w:val="ListParagraph"/>
      </w:pPr>
      <w:r w:rsidRPr="003907AC">
        <w:t>with the support of the State Control Centre (SCC) Room Manager, oversees the operational functioning of the SCC for the energy emergency</w:t>
      </w:r>
    </w:p>
    <w:p w14:paraId="546D1612" w14:textId="77777777" w:rsidR="00DD2A1D" w:rsidRPr="003907AC" w:rsidRDefault="00DD2A1D">
      <w:pPr>
        <w:pStyle w:val="ListParagraph"/>
      </w:pPr>
      <w:r w:rsidRPr="003907AC">
        <w:t xml:space="preserve">identifies current and emerging risks, or threats </w:t>
      </w:r>
      <w:proofErr w:type="gramStart"/>
      <w:r w:rsidRPr="003907AC">
        <w:t>in regard to</w:t>
      </w:r>
      <w:proofErr w:type="gramEnd"/>
      <w:r w:rsidRPr="003907AC">
        <w:t xml:space="preserve"> the emergency, and implements proactive response strategies </w:t>
      </w:r>
    </w:p>
    <w:p w14:paraId="77F490AB" w14:textId="77777777" w:rsidR="00DD2A1D" w:rsidRPr="003907AC" w:rsidRDefault="00DD2A1D">
      <w:pPr>
        <w:pStyle w:val="ListParagraph"/>
      </w:pPr>
      <w:r w:rsidRPr="003907AC">
        <w:t>ensures the timely flow of relevant information to and from industry, the EMC, State Coordination Team, SCT, SEMT, other support teams and stakeholder agencies.</w:t>
      </w:r>
    </w:p>
    <w:p w14:paraId="7C5EF20B" w14:textId="77777777" w:rsidR="00DD2A1D" w:rsidRPr="003907AC" w:rsidRDefault="00DD2A1D">
      <w:pPr>
        <w:pStyle w:val="ListParagraph"/>
      </w:pPr>
      <w:r w:rsidRPr="003907AC">
        <w:t xml:space="preserve">facilitates transition to recovery at the state level, supported by the SERC and State Recovery Coordinator, and provide support to Regional Controllers and Incident Controllers at regional and local levels </w:t>
      </w:r>
    </w:p>
    <w:p w14:paraId="61788EFF" w14:textId="4C027318" w:rsidR="00DD2A1D" w:rsidRPr="003907AC" w:rsidRDefault="00DD2A1D" w:rsidP="00DD2A1D">
      <w:r w:rsidRPr="003907AC">
        <w:t xml:space="preserve">The </w:t>
      </w:r>
      <w:r w:rsidR="00E637CE" w:rsidRPr="003907AC">
        <w:rPr>
          <w:szCs w:val="22"/>
        </w:rPr>
        <w:t>State Controller – Energy</w:t>
      </w:r>
      <w:r w:rsidRPr="003907AC">
        <w:t xml:space="preserve"> must keep the EMC informed about: </w:t>
      </w:r>
    </w:p>
    <w:p w14:paraId="6912C857" w14:textId="77777777" w:rsidR="00DD2A1D" w:rsidRPr="003907AC" w:rsidRDefault="00DD2A1D" w:rsidP="0075092B">
      <w:pPr>
        <w:pStyle w:val="ListParagraph"/>
      </w:pPr>
      <w:r w:rsidRPr="003907AC">
        <w:t xml:space="preserve">the effectiveness of the control arrangements for the Class 2 emergency </w:t>
      </w:r>
    </w:p>
    <w:p w14:paraId="109CAD8A" w14:textId="77777777" w:rsidR="00DD2A1D" w:rsidRPr="003907AC" w:rsidRDefault="00DD2A1D">
      <w:pPr>
        <w:pStyle w:val="ListParagraph"/>
      </w:pPr>
      <w:r w:rsidRPr="003907AC">
        <w:t xml:space="preserve">consequence management planning, </w:t>
      </w:r>
      <w:proofErr w:type="gramStart"/>
      <w:r w:rsidRPr="003907AC">
        <w:t>implementation</w:t>
      </w:r>
      <w:proofErr w:type="gramEnd"/>
      <w:r w:rsidRPr="003907AC">
        <w:t xml:space="preserve"> and outcomes, in consultation with the State Consequence Manager </w:t>
      </w:r>
    </w:p>
    <w:p w14:paraId="65BA4B3E" w14:textId="77777777" w:rsidR="00DD2A1D" w:rsidRPr="003907AC" w:rsidRDefault="00DD2A1D">
      <w:pPr>
        <w:pStyle w:val="ListParagraph"/>
      </w:pPr>
      <w:r w:rsidRPr="003907AC">
        <w:t xml:space="preserve">the integration of recovery with the response arrangements, in consultation with the State Recovery Coordinator. </w:t>
      </w:r>
    </w:p>
    <w:p w14:paraId="36E567A2" w14:textId="77777777" w:rsidR="00DD2A1D" w:rsidRPr="003907AC" w:rsidRDefault="00DD2A1D" w:rsidP="00DD2A1D">
      <w:r w:rsidRPr="003907AC">
        <w:t>The State Controller – Energy must consider and apply the State Emergency Management Priorities.</w:t>
      </w:r>
    </w:p>
    <w:p w14:paraId="19C59117" w14:textId="77777777" w:rsidR="00DD2A1D" w:rsidRPr="003907AC" w:rsidRDefault="00DD2A1D" w:rsidP="00DD2A1D">
      <w:pPr>
        <w:pStyle w:val="Heading3"/>
      </w:pPr>
      <w:bookmarkStart w:id="1323" w:name="_Toc94013192"/>
      <w:r w:rsidRPr="003907AC">
        <w:t>Control centre</w:t>
      </w:r>
      <w:bookmarkEnd w:id="1323"/>
    </w:p>
    <w:p w14:paraId="4B5BCDA9" w14:textId="77777777" w:rsidR="00DD2A1D" w:rsidRPr="003907AC" w:rsidRDefault="00DD2A1D" w:rsidP="001B3408">
      <w:pPr>
        <w:pStyle w:val="BodyText"/>
      </w:pPr>
      <w:r w:rsidRPr="003907AC">
        <w:t>The Secretary DELWP, or State Controller – Energy, determines where a Class 2 energy emergency is controlled from.</w:t>
      </w:r>
    </w:p>
    <w:p w14:paraId="1BEDAFFA" w14:textId="77777777" w:rsidR="00DD2A1D" w:rsidRPr="003907AC" w:rsidRDefault="00DD2A1D" w:rsidP="001B3408">
      <w:pPr>
        <w:pStyle w:val="BodyText"/>
      </w:pPr>
      <w:r w:rsidRPr="003907AC">
        <w:t>They may decide the emergency is controlled from the State Control Centre (SCC), a Regional Control Centre (RCC), an Incident Control Centre (ICC) or another location.</w:t>
      </w:r>
    </w:p>
    <w:p w14:paraId="0884CCA9" w14:textId="77777777" w:rsidR="00DD2A1D" w:rsidRPr="003907AC" w:rsidRDefault="00DD2A1D" w:rsidP="001B3408">
      <w:pPr>
        <w:pStyle w:val="BodyText"/>
      </w:pPr>
      <w:r w:rsidRPr="003907AC">
        <w:lastRenderedPageBreak/>
        <w:t xml:space="preserve">Class 2 energy emergencies are by default controlled from the SCC unless the State Controller – Energy determines otherwise. This reflects the severity, </w:t>
      </w:r>
      <w:proofErr w:type="gramStart"/>
      <w:r w:rsidRPr="003907AC">
        <w:t>complexity</w:t>
      </w:r>
      <w:proofErr w:type="gramEnd"/>
      <w:r w:rsidRPr="003907AC">
        <w:t xml:space="preserve"> and geographic spread of Class 2 energy emergencies. </w:t>
      </w:r>
    </w:p>
    <w:p w14:paraId="0BE51523" w14:textId="77777777" w:rsidR="00DD2A1D" w:rsidRPr="003907AC" w:rsidRDefault="00DD2A1D" w:rsidP="00DD2A1D">
      <w:pPr>
        <w:pStyle w:val="Heading3"/>
      </w:pPr>
      <w:bookmarkStart w:id="1324" w:name="_Toc94013193"/>
      <w:r w:rsidRPr="003907AC">
        <w:t>Management structure</w:t>
      </w:r>
      <w:bookmarkEnd w:id="1324"/>
      <w:r w:rsidRPr="003907AC">
        <w:t xml:space="preserve"> </w:t>
      </w:r>
    </w:p>
    <w:p w14:paraId="6E6887A6" w14:textId="77777777" w:rsidR="00DD2A1D" w:rsidRPr="003907AC" w:rsidRDefault="00DD2A1D" w:rsidP="001B3408">
      <w:pPr>
        <w:pStyle w:val="BodyText"/>
      </w:pPr>
      <w:r w:rsidRPr="003907AC">
        <w:t xml:space="preserve">The State Controller – Energy is responsible to establish a management structure for the emergency as appropriate and monitor it to ensure it continues to be effective. </w:t>
      </w:r>
    </w:p>
    <w:p w14:paraId="3B28E464" w14:textId="77777777" w:rsidR="00DD2A1D" w:rsidRPr="003907AC" w:rsidRDefault="00DD2A1D" w:rsidP="001B3408">
      <w:pPr>
        <w:pStyle w:val="BodyText"/>
      </w:pPr>
      <w:r>
        <w:t xml:space="preserve">This management structure is informed by the nature of the </w:t>
      </w:r>
      <w:bookmarkStart w:id="1325" w:name="_Int_2WJW1hAY"/>
      <w:proofErr w:type="gramStart"/>
      <w:r>
        <w:t>emergency, and</w:t>
      </w:r>
      <w:bookmarkEnd w:id="1325"/>
      <w:proofErr w:type="gramEnd"/>
      <w:r>
        <w:t xml:space="preserve"> designed to integrate industry and SCC functions.</w:t>
      </w:r>
    </w:p>
    <w:p w14:paraId="2ACE9830" w14:textId="77777777" w:rsidR="00DD2A1D" w:rsidRPr="003907AC" w:rsidRDefault="00DD2A1D" w:rsidP="001B3408">
      <w:pPr>
        <w:pStyle w:val="BodyText"/>
      </w:pPr>
      <w:r w:rsidRPr="003907AC">
        <w:t xml:space="preserve">See </w:t>
      </w:r>
      <w:r w:rsidRPr="003907AC">
        <w:rPr>
          <w:b/>
          <w:bCs/>
        </w:rPr>
        <w:t>Appendix B</w:t>
      </w:r>
      <w:r w:rsidRPr="003907AC">
        <w:t xml:space="preserve"> for a summary of multi-jurisdictional and state-level joint government-industry arrangements and roles.</w:t>
      </w:r>
    </w:p>
    <w:p w14:paraId="52B12455" w14:textId="1D9F6E91" w:rsidR="00DD2A1D" w:rsidRPr="003907AC" w:rsidRDefault="00DD2A1D" w:rsidP="00DD2A1D">
      <w:pPr>
        <w:pStyle w:val="Caption"/>
      </w:pPr>
      <w:r w:rsidRPr="003907AC">
        <w:t xml:space="preserve">Figure </w:t>
      </w:r>
      <w:r w:rsidRPr="003907AC">
        <w:fldChar w:fldCharType="begin"/>
      </w:r>
      <w:r w:rsidRPr="003907AC">
        <w:instrText>SEQ Figure \* ARABIC</w:instrText>
      </w:r>
      <w:r w:rsidRPr="003907AC">
        <w:fldChar w:fldCharType="separate"/>
      </w:r>
      <w:r w:rsidR="00A45804">
        <w:rPr>
          <w:noProof/>
        </w:rPr>
        <w:t>1</w:t>
      </w:r>
      <w:r w:rsidRPr="003907AC">
        <w:fldChar w:fldCharType="end"/>
      </w:r>
      <w:r w:rsidRPr="003907AC">
        <w:t>: example of management structure, roles</w:t>
      </w:r>
    </w:p>
    <w:p w14:paraId="70CBA1E0" w14:textId="4BB84FA5" w:rsidR="00DD2A1D" w:rsidRPr="003907AC" w:rsidRDefault="005963C1" w:rsidP="00DD2A1D">
      <w:r>
        <w:rPr>
          <w:noProof/>
        </w:rPr>
        <w:drawing>
          <wp:inline distT="0" distB="0" distL="0" distR="0" wp14:anchorId="668B498F" wp14:editId="78D45BE8">
            <wp:extent cx="5857200" cy="448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200" cy="4485600"/>
                    </a:xfrm>
                    <a:prstGeom prst="rect">
                      <a:avLst/>
                    </a:prstGeom>
                    <a:noFill/>
                  </pic:spPr>
                </pic:pic>
              </a:graphicData>
            </a:graphic>
          </wp:inline>
        </w:drawing>
      </w:r>
    </w:p>
    <w:p w14:paraId="4F0DF5C7" w14:textId="77777777" w:rsidR="00DD2A1D" w:rsidRPr="003907AC" w:rsidRDefault="00DD2A1D" w:rsidP="00DD2A1D">
      <w:pPr>
        <w:pStyle w:val="Heading3"/>
      </w:pPr>
      <w:bookmarkStart w:id="1326" w:name="_Ref92436814"/>
      <w:bookmarkStart w:id="1327" w:name="_Toc94013194"/>
      <w:r w:rsidRPr="003907AC">
        <w:t>Concurrent emergencies</w:t>
      </w:r>
      <w:bookmarkEnd w:id="1326"/>
      <w:bookmarkEnd w:id="1327"/>
    </w:p>
    <w:p w14:paraId="659AA03E" w14:textId="77777777" w:rsidR="00DD2A1D" w:rsidRPr="003907AC" w:rsidRDefault="00DD2A1D" w:rsidP="003D4277">
      <w:pPr>
        <w:pStyle w:val="BodyText"/>
      </w:pPr>
      <w:r w:rsidRPr="003907AC">
        <w:t>An energy emergency can occur concurrently with, or consequentially to, another major emergency</w:t>
      </w:r>
      <w:r>
        <w:t xml:space="preserve"> (class 1, class </w:t>
      </w:r>
      <w:proofErr w:type="gramStart"/>
      <w:r>
        <w:t>2</w:t>
      </w:r>
      <w:proofErr w:type="gramEnd"/>
      <w:r>
        <w:t xml:space="preserve"> or class 3)</w:t>
      </w:r>
      <w:r w:rsidRPr="003907AC">
        <w:t>.</w:t>
      </w:r>
    </w:p>
    <w:p w14:paraId="78025944" w14:textId="608BD9DC" w:rsidR="00DD2A1D" w:rsidRPr="003907AC" w:rsidRDefault="00DD2A1D" w:rsidP="003D4277">
      <w:pPr>
        <w:pStyle w:val="BodyText"/>
      </w:pPr>
      <w:r>
        <w:t>When an energy</w:t>
      </w:r>
      <w:r w:rsidR="000D0AE7">
        <w:t xml:space="preserve"> major</w:t>
      </w:r>
      <w:r>
        <w:t xml:space="preserve"> emergency is concurrent with another emergency, the Secretary </w:t>
      </w:r>
      <w:bookmarkStart w:id="1328" w:name="_Int_6XEdVMmk"/>
      <w:proofErr w:type="spellStart"/>
      <w:r>
        <w:t>or</w:t>
      </w:r>
      <w:bookmarkEnd w:id="1328"/>
      <w:proofErr w:type="spellEnd"/>
      <w:r>
        <w:t xml:space="preserve"> State Controller – Energy consults the EMC and any other relevant control agency to agree and document effective and appropriate control arrangements.</w:t>
      </w:r>
    </w:p>
    <w:p w14:paraId="0D277161" w14:textId="77777777" w:rsidR="00DD2A1D" w:rsidRDefault="00DD2A1D" w:rsidP="003D4277">
      <w:pPr>
        <w:pStyle w:val="BodyText"/>
      </w:pPr>
      <w:r w:rsidRPr="003907AC">
        <w:t>This can include coordinated but separate control arrangements, with multiple state tier controllers responsible for each emergency.</w:t>
      </w:r>
    </w:p>
    <w:p w14:paraId="3D354A77" w14:textId="77777777" w:rsidR="00DD2A1D" w:rsidRDefault="00DD2A1D" w:rsidP="003D4277">
      <w:pPr>
        <w:pStyle w:val="BodyText"/>
      </w:pPr>
      <w:r>
        <w:lastRenderedPageBreak/>
        <w:t>Where regional and incident tiers of control are established for another major emergency, energy emergency leadership and expertise can be embedded into those tiers, for example through:</w:t>
      </w:r>
    </w:p>
    <w:p w14:paraId="407681DC" w14:textId="77777777" w:rsidR="00DD2A1D" w:rsidRDefault="00DD2A1D" w:rsidP="0075092B">
      <w:pPr>
        <w:pStyle w:val="ListParagraph"/>
      </w:pPr>
      <w:r>
        <w:t>a deputy regional controller or deputy incident controller</w:t>
      </w:r>
    </w:p>
    <w:p w14:paraId="209EC634" w14:textId="10FF73B3" w:rsidR="00DD2A1D" w:rsidRDefault="00DD2A1D">
      <w:pPr>
        <w:pStyle w:val="ListParagraph"/>
      </w:pPr>
      <w:r>
        <w:t>an Emergency Management Liaison Officer – either an industry representative or personnel from DELWP.</w:t>
      </w:r>
    </w:p>
    <w:p w14:paraId="1CCD2551" w14:textId="669F0BB9" w:rsidR="00AB1A1D" w:rsidRDefault="00C80FA9" w:rsidP="000D0AE7">
      <w:r>
        <w:t xml:space="preserve">In the event of </w:t>
      </w:r>
      <w:r w:rsidR="00D5560F">
        <w:t xml:space="preserve">a </w:t>
      </w:r>
      <w:r>
        <w:t>localised or limit</w:t>
      </w:r>
      <w:r w:rsidR="00D5560F">
        <w:t>ed</w:t>
      </w:r>
      <w:r>
        <w:t xml:space="preserve"> impact energy disruption</w:t>
      </w:r>
      <w:r w:rsidR="002312FF">
        <w:t xml:space="preserve"> </w:t>
      </w:r>
      <w:r>
        <w:t xml:space="preserve">concurrent with a major emergency, </w:t>
      </w:r>
      <w:r w:rsidR="002F1E68">
        <w:t>DELWP</w:t>
      </w:r>
      <w:r w:rsidR="00A23D68">
        <w:t xml:space="preserve"> supports the relevant control agency through </w:t>
      </w:r>
      <w:r w:rsidR="002F1E68">
        <w:t>subject matter expertise, intelligence</w:t>
      </w:r>
      <w:r w:rsidR="00FA2F70">
        <w:t xml:space="preserve"> and reporting,</w:t>
      </w:r>
      <w:r w:rsidR="002F1E68">
        <w:t xml:space="preserve"> and </w:t>
      </w:r>
      <w:r w:rsidR="00A23D68">
        <w:t xml:space="preserve">energy sector engagement and </w:t>
      </w:r>
      <w:r w:rsidR="002F1E68">
        <w:t>coordination</w:t>
      </w:r>
      <w:r w:rsidR="00245749">
        <w:t>.</w:t>
      </w:r>
      <w:r w:rsidR="00BB3F45">
        <w:t xml:space="preserve"> </w:t>
      </w:r>
      <w:r w:rsidR="00531C69">
        <w:t xml:space="preserve">Examples </w:t>
      </w:r>
      <w:r w:rsidR="004B1675">
        <w:t xml:space="preserve">of </w:t>
      </w:r>
      <w:r w:rsidR="00984971">
        <w:t xml:space="preserve">a </w:t>
      </w:r>
      <w:r w:rsidR="00AB1A1D">
        <w:t xml:space="preserve">localised or limited impact energy disruption </w:t>
      </w:r>
      <w:r w:rsidR="00984971">
        <w:t>(</w:t>
      </w:r>
      <w:r w:rsidR="00AB1A1D">
        <w:t>or risk</w:t>
      </w:r>
      <w:r w:rsidR="00984971">
        <w:t xml:space="preserve">) </w:t>
      </w:r>
      <w:r w:rsidR="00AB1A1D">
        <w:t>concurrent with a major emergency include:</w:t>
      </w:r>
    </w:p>
    <w:p w14:paraId="3C47F9CC" w14:textId="77777777" w:rsidR="00AB1A1D" w:rsidRDefault="00531C69" w:rsidP="0075092B">
      <w:pPr>
        <w:pStyle w:val="ListParagraph"/>
      </w:pPr>
      <w:r>
        <w:t>localised power outage affecting a relief centre or community hub</w:t>
      </w:r>
      <w:r w:rsidR="00A8799F">
        <w:t xml:space="preserve"> established </w:t>
      </w:r>
      <w:r w:rsidR="00ED23CD">
        <w:t>in relation to fire or flood event</w:t>
      </w:r>
    </w:p>
    <w:p w14:paraId="2A98174C" w14:textId="1CE97A89" w:rsidR="00AB1A1D" w:rsidRDefault="006B2CE3">
      <w:pPr>
        <w:pStyle w:val="ListParagraph"/>
      </w:pPr>
      <w:r>
        <w:t xml:space="preserve">closure or stock-out </w:t>
      </w:r>
      <w:r w:rsidR="00390499">
        <w:t>at local liquid fuel retail</w:t>
      </w:r>
      <w:r w:rsidR="00177366">
        <w:t xml:space="preserve"> due to reduced freight access</w:t>
      </w:r>
      <w:r w:rsidR="00703E71">
        <w:t xml:space="preserve"> </w:t>
      </w:r>
      <w:proofErr w:type="gramStart"/>
      <w:r w:rsidR="00703E71">
        <w:t>as a result of</w:t>
      </w:r>
      <w:proofErr w:type="gramEnd"/>
      <w:r w:rsidR="00703E71">
        <w:t xml:space="preserve"> fire, flood or storm</w:t>
      </w:r>
      <w:r w:rsidR="00F153C9">
        <w:t>, or workforce shortage due to pandemic</w:t>
      </w:r>
    </w:p>
    <w:p w14:paraId="558A3377" w14:textId="75709F4F" w:rsidR="000D0AE7" w:rsidRPr="0075092B" w:rsidRDefault="00CA29FC">
      <w:pPr>
        <w:pStyle w:val="ListParagraph"/>
      </w:pPr>
      <w:r w:rsidRPr="0075092B">
        <w:t xml:space="preserve">gas pipeline </w:t>
      </w:r>
      <w:r w:rsidR="00A83F92" w:rsidRPr="0075092B">
        <w:t xml:space="preserve">or </w:t>
      </w:r>
      <w:r w:rsidR="0032014C" w:rsidRPr="0075092B">
        <w:t xml:space="preserve">electricity </w:t>
      </w:r>
      <w:r w:rsidR="00A83F92" w:rsidRPr="0075092B">
        <w:t xml:space="preserve">transmission line </w:t>
      </w:r>
      <w:r w:rsidRPr="0075092B">
        <w:t xml:space="preserve">in the predicted path </w:t>
      </w:r>
      <w:r w:rsidR="0032014C" w:rsidRPr="0075092B">
        <w:t xml:space="preserve">of </w:t>
      </w:r>
      <w:r w:rsidRPr="0075092B">
        <w:t>a fire</w:t>
      </w:r>
      <w:r w:rsidR="00703E71" w:rsidRPr="0075092B">
        <w:t>.</w:t>
      </w:r>
    </w:p>
    <w:p w14:paraId="062687CB" w14:textId="0D62A11F" w:rsidR="00DD2A1D" w:rsidRPr="003907AC" w:rsidRDefault="00DD2A1D" w:rsidP="00DD2A1D">
      <w:pPr>
        <w:pStyle w:val="Caption"/>
      </w:pPr>
      <w:r w:rsidRPr="003907AC">
        <w:t xml:space="preserve">Table </w:t>
      </w:r>
      <w:r w:rsidRPr="003907AC">
        <w:fldChar w:fldCharType="begin"/>
      </w:r>
      <w:r w:rsidRPr="003907AC">
        <w:instrText>SEQ Table \* ARABIC</w:instrText>
      </w:r>
      <w:r w:rsidRPr="003907AC">
        <w:fldChar w:fldCharType="separate"/>
      </w:r>
      <w:r w:rsidR="00A45804">
        <w:rPr>
          <w:noProof/>
        </w:rPr>
        <w:t>4</w:t>
      </w:r>
      <w:r w:rsidRPr="003907AC">
        <w:fldChar w:fldCharType="end"/>
      </w:r>
      <w:r w:rsidRPr="003907AC">
        <w:t>: Control agencies for concurrent emergencies – causes and compounding events for energy emergencies</w:t>
      </w:r>
    </w:p>
    <w:tbl>
      <w:tblPr>
        <w:tblStyle w:val="ListTable4-Accent1"/>
        <w:tblW w:w="0" w:type="auto"/>
        <w:tblCellSpacing w:w="28" w:type="dxa"/>
        <w:tblInd w:w="-17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30"/>
        <w:gridCol w:w="4138"/>
        <w:gridCol w:w="2906"/>
      </w:tblGrid>
      <w:tr w:rsidR="00AF2CA0" w:rsidRPr="003907AC" w14:paraId="2000827F" w14:textId="77777777" w:rsidTr="70E080EC">
        <w:trPr>
          <w:cnfStyle w:val="100000000000" w:firstRow="1" w:lastRow="0" w:firstColumn="0" w:lastColumn="0" w:oddVBand="0" w:evenVBand="0" w:oddHBand="0" w:evenHBand="0" w:firstRowFirstColumn="0" w:firstRowLastColumn="0" w:lastRowFirstColumn="0" w:lastRowLastColumn="0"/>
          <w:tblHeade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4347E" w14:textId="77777777" w:rsidR="003D4277" w:rsidRPr="000D465D" w:rsidRDefault="003D4277" w:rsidP="00DD2A1D">
            <w:pPr>
              <w:pStyle w:val="TableHeadingLeft"/>
              <w:rPr>
                <w:rFonts w:ascii="Arial" w:hAnsi="Arial"/>
                <w:b/>
                <w:bCs w:val="0"/>
                <w:color w:val="auto"/>
                <w:sz w:val="20"/>
              </w:rPr>
            </w:pPr>
            <w:r w:rsidRPr="000D465D">
              <w:rPr>
                <w:rFonts w:ascii="Arial" w:hAnsi="Arial"/>
                <w:b/>
                <w:bCs w:val="0"/>
                <w:color w:val="auto"/>
                <w:sz w:val="20"/>
              </w:rPr>
              <w:t>Hazard</w:t>
            </w:r>
          </w:p>
        </w:tc>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6CA9" w14:textId="77777777" w:rsidR="003D4277" w:rsidRPr="000D465D" w:rsidRDefault="003D4277" w:rsidP="00DD2A1D">
            <w:pPr>
              <w:pStyle w:val="TableHeadingLeft"/>
              <w:cnfStyle w:val="100000000000" w:firstRow="1" w:lastRow="0" w:firstColumn="0" w:lastColumn="0" w:oddVBand="0" w:evenVBand="0" w:oddHBand="0" w:evenHBand="0" w:firstRowFirstColumn="0" w:firstRowLastColumn="0" w:lastRowFirstColumn="0" w:lastRowLastColumn="0"/>
              <w:rPr>
                <w:rFonts w:ascii="Arial" w:hAnsi="Arial"/>
                <w:b/>
                <w:bCs w:val="0"/>
                <w:color w:val="auto"/>
                <w:sz w:val="20"/>
              </w:rPr>
            </w:pPr>
            <w:r w:rsidRPr="000D465D">
              <w:rPr>
                <w:rFonts w:ascii="Arial" w:hAnsi="Arial"/>
                <w:b/>
                <w:bCs w:val="0"/>
                <w:color w:val="auto"/>
                <w:sz w:val="20"/>
              </w:rPr>
              <w:t xml:space="preserve">Energy supply disruption </w:t>
            </w:r>
          </w:p>
        </w:tc>
        <w:tc>
          <w:tcPr>
            <w:tcW w:w="2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B73A5" w14:textId="3B70BCAE" w:rsidR="003D4277" w:rsidRPr="000D465D" w:rsidRDefault="003D4277" w:rsidP="00DD2A1D">
            <w:pPr>
              <w:pStyle w:val="TableHeadingLeft"/>
              <w:cnfStyle w:val="100000000000" w:firstRow="1" w:lastRow="0" w:firstColumn="0" w:lastColumn="0" w:oddVBand="0" w:evenVBand="0" w:oddHBand="0" w:evenHBand="0" w:firstRowFirstColumn="0" w:firstRowLastColumn="0" w:lastRowFirstColumn="0" w:lastRowLastColumn="0"/>
              <w:rPr>
                <w:rFonts w:ascii="Arial" w:hAnsi="Arial"/>
                <w:b/>
                <w:bCs w:val="0"/>
                <w:color w:val="auto"/>
                <w:sz w:val="20"/>
              </w:rPr>
            </w:pPr>
            <w:r w:rsidRPr="000D465D">
              <w:rPr>
                <w:rFonts w:ascii="Arial" w:hAnsi="Arial"/>
                <w:b/>
                <w:bCs w:val="0"/>
                <w:color w:val="auto"/>
                <w:sz w:val="20"/>
              </w:rPr>
              <w:t xml:space="preserve">Control agency </w:t>
            </w:r>
          </w:p>
        </w:tc>
      </w:tr>
      <w:tr w:rsidR="00AF2CA0" w:rsidRPr="003907AC" w14:paraId="1B22C58D"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F7C9" w14:textId="77777777" w:rsidR="003D4277" w:rsidRPr="000D465D" w:rsidRDefault="003D4277" w:rsidP="00DD2A1D">
            <w:pPr>
              <w:rPr>
                <w:sz w:val="16"/>
                <w:szCs w:val="16"/>
              </w:rPr>
            </w:pPr>
            <w:r w:rsidRPr="000D465D">
              <w:rPr>
                <w:sz w:val="16"/>
                <w:szCs w:val="16"/>
              </w:rPr>
              <w:t>Cyber attack</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B5F5" w14:textId="77777777"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Can interrupt services and even cause physical damage to assets</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F14CF9" w14:textId="30EEB19D" w:rsidR="003D4277" w:rsidRPr="000D465D" w:rsidRDefault="00AE4D4B"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Department of Premier and Cabinet</w:t>
            </w:r>
            <w:r w:rsidR="00F305BD" w:rsidRPr="000D465D">
              <w:rPr>
                <w:sz w:val="16"/>
                <w:szCs w:val="16"/>
              </w:rPr>
              <w:t xml:space="preserve"> (DPC)</w:t>
            </w:r>
          </w:p>
        </w:tc>
      </w:tr>
      <w:tr w:rsidR="00AF2CA0" w:rsidRPr="003907AC" w14:paraId="12B85D35"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16494" w14:textId="77777777" w:rsidR="003D4277" w:rsidRPr="000D465D" w:rsidRDefault="003D4277" w:rsidP="00DD2A1D">
            <w:pPr>
              <w:rPr>
                <w:sz w:val="16"/>
                <w:szCs w:val="16"/>
              </w:rPr>
            </w:pPr>
            <w:r w:rsidRPr="000D465D">
              <w:rPr>
                <w:sz w:val="16"/>
                <w:szCs w:val="16"/>
              </w:rPr>
              <w:t>Earthquakes</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C37A3" w14:textId="75CD36E7" w:rsidR="003D4277" w:rsidRPr="000D465D" w:rsidRDefault="003D4277" w:rsidP="00DD2A1D">
            <w:pPr>
              <w:ind w:left="134"/>
              <w:cnfStyle w:val="000000000000" w:firstRow="0" w:lastRow="0" w:firstColumn="0" w:lastColumn="0" w:oddVBand="0" w:evenVBand="0" w:oddHBand="0" w:evenHBand="0" w:firstRowFirstColumn="0" w:firstRowLastColumn="0" w:lastRowFirstColumn="0" w:lastRowLastColumn="0"/>
              <w:rPr>
                <w:rFonts w:ascii="Arial" w:hAnsi="Arial"/>
                <w:color w:val="auto"/>
                <w:sz w:val="16"/>
                <w:szCs w:val="16"/>
              </w:rPr>
            </w:pPr>
            <w:r w:rsidRPr="000D465D">
              <w:rPr>
                <w:sz w:val="16"/>
                <w:szCs w:val="16"/>
              </w:rPr>
              <w:t>Can damage gas and liquid fuels pipelines, causing supply shortfall</w:t>
            </w:r>
            <w:r w:rsidR="000D0AE7" w:rsidRPr="000D465D">
              <w:rPr>
                <w:sz w:val="16"/>
                <w:szCs w:val="16"/>
              </w:rPr>
              <w:t xml:space="preserve"> and/or localised disruptions</w:t>
            </w:r>
            <w:r w:rsidRPr="000D465D">
              <w:rPr>
                <w:sz w:val="16"/>
                <w:szCs w:val="16"/>
              </w:rPr>
              <w:t>.</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86F590E" w14:textId="646ACE92" w:rsidR="003D4277" w:rsidRPr="000D465D" w:rsidRDefault="00F305BD"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r w:rsidRPr="000D465D">
              <w:rPr>
                <w:sz w:val="16"/>
                <w:szCs w:val="16"/>
              </w:rPr>
              <w:t>Victoria State Emergency Service (</w:t>
            </w:r>
            <w:proofErr w:type="spellStart"/>
            <w:r w:rsidR="003D4277" w:rsidRPr="000D465D">
              <w:rPr>
                <w:sz w:val="16"/>
                <w:szCs w:val="16"/>
              </w:rPr>
              <w:t>VicSES</w:t>
            </w:r>
            <w:proofErr w:type="spellEnd"/>
            <w:r w:rsidRPr="000D465D">
              <w:rPr>
                <w:sz w:val="16"/>
                <w:szCs w:val="16"/>
              </w:rPr>
              <w:t>)</w:t>
            </w:r>
          </w:p>
        </w:tc>
      </w:tr>
      <w:tr w:rsidR="00AF2CA0" w:rsidRPr="003907AC" w14:paraId="14464EFC"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C7C0A" w14:textId="77777777" w:rsidR="003D4277" w:rsidRPr="000D465D" w:rsidRDefault="003D4277" w:rsidP="00DD2A1D">
            <w:pPr>
              <w:rPr>
                <w:sz w:val="16"/>
                <w:szCs w:val="16"/>
              </w:rPr>
            </w:pPr>
            <w:r w:rsidRPr="000D465D">
              <w:rPr>
                <w:sz w:val="16"/>
                <w:szCs w:val="16"/>
              </w:rPr>
              <w:t>Fires</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77E8" w14:textId="4F2FAF2D"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 xml:space="preserve">Structure fires, bushfires and other fires can damage assets and infrastructure and disrupt supply chains across gas, </w:t>
            </w:r>
            <w:proofErr w:type="gramStart"/>
            <w:r w:rsidRPr="000D465D">
              <w:rPr>
                <w:sz w:val="16"/>
                <w:szCs w:val="16"/>
              </w:rPr>
              <w:t>electricity</w:t>
            </w:r>
            <w:proofErr w:type="gramEnd"/>
            <w:r w:rsidRPr="000D465D">
              <w:rPr>
                <w:sz w:val="16"/>
                <w:szCs w:val="16"/>
              </w:rPr>
              <w:t xml:space="preserve"> and liquid fuels</w:t>
            </w:r>
            <w:r w:rsidR="00AD1E62" w:rsidRPr="000D465D">
              <w:rPr>
                <w:sz w:val="16"/>
                <w:szCs w:val="16"/>
              </w:rPr>
              <w:t xml:space="preserve"> (including retail)</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F7C4D1" w14:textId="48B191D8" w:rsidR="003D4277" w:rsidRPr="000D465D" w:rsidRDefault="00F305BD"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Country Fire Authority (</w:t>
            </w:r>
            <w:r w:rsidR="003D4277" w:rsidRPr="000D465D">
              <w:rPr>
                <w:sz w:val="16"/>
                <w:szCs w:val="16"/>
              </w:rPr>
              <w:t>CFA</w:t>
            </w:r>
            <w:r w:rsidRPr="000D465D">
              <w:rPr>
                <w:sz w:val="16"/>
                <w:szCs w:val="16"/>
              </w:rPr>
              <w:t>)</w:t>
            </w:r>
            <w:r w:rsidR="003D4277" w:rsidRPr="000D465D">
              <w:rPr>
                <w:sz w:val="16"/>
                <w:szCs w:val="16"/>
              </w:rPr>
              <w:t>,</w:t>
            </w:r>
            <w:r w:rsidRPr="000D465D">
              <w:rPr>
                <w:sz w:val="16"/>
                <w:szCs w:val="16"/>
              </w:rPr>
              <w:t xml:space="preserve"> Fire Rescue Victoria (</w:t>
            </w:r>
            <w:r w:rsidR="003D4277" w:rsidRPr="000D465D">
              <w:rPr>
                <w:sz w:val="16"/>
                <w:szCs w:val="16"/>
              </w:rPr>
              <w:t>FRV</w:t>
            </w:r>
            <w:r w:rsidRPr="000D465D">
              <w:rPr>
                <w:sz w:val="16"/>
                <w:szCs w:val="16"/>
              </w:rPr>
              <w:t>)</w:t>
            </w:r>
            <w:r w:rsidR="003D4277" w:rsidRPr="000D465D">
              <w:rPr>
                <w:sz w:val="16"/>
                <w:szCs w:val="16"/>
              </w:rPr>
              <w:t xml:space="preserve"> or </w:t>
            </w:r>
            <w:r w:rsidR="00AF2CA0" w:rsidRPr="000D465D">
              <w:rPr>
                <w:sz w:val="16"/>
                <w:szCs w:val="16"/>
              </w:rPr>
              <w:t>Forest Fire Management Victoria (</w:t>
            </w:r>
            <w:r w:rsidR="003D4277" w:rsidRPr="000D465D">
              <w:rPr>
                <w:sz w:val="16"/>
                <w:szCs w:val="16"/>
              </w:rPr>
              <w:t>FFMVic</w:t>
            </w:r>
            <w:r w:rsidR="00AF2CA0" w:rsidRPr="000D465D">
              <w:rPr>
                <w:sz w:val="16"/>
                <w:szCs w:val="16"/>
              </w:rPr>
              <w:t>)</w:t>
            </w:r>
          </w:p>
        </w:tc>
      </w:tr>
      <w:tr w:rsidR="00AF2CA0" w:rsidRPr="003907AC" w14:paraId="6C13E70E"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D0D8" w14:textId="77777777" w:rsidR="003D4277" w:rsidRPr="000D465D" w:rsidRDefault="003D4277" w:rsidP="00DD2A1D">
            <w:pPr>
              <w:rPr>
                <w:sz w:val="16"/>
                <w:szCs w:val="16"/>
              </w:rPr>
            </w:pPr>
            <w:r w:rsidRPr="000D465D">
              <w:rPr>
                <w:sz w:val="16"/>
                <w:szCs w:val="16"/>
              </w:rPr>
              <w:t>Flooding</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8CA41" w14:textId="216D8B20" w:rsidR="003D4277" w:rsidRPr="000D465D" w:rsidRDefault="064D94E1" w:rsidP="00DD2A1D">
            <w:pPr>
              <w:ind w:left="134"/>
              <w:cnfStyle w:val="000000000000" w:firstRow="0" w:lastRow="0" w:firstColumn="0" w:lastColumn="0" w:oddVBand="0" w:evenVBand="0" w:oddHBand="0" w:evenHBand="0" w:firstRowFirstColumn="0" w:firstRowLastColumn="0" w:lastRowFirstColumn="0" w:lastRowLastColumn="0"/>
              <w:rPr>
                <w:rFonts w:ascii="Arial" w:hAnsi="Arial"/>
                <w:color w:val="auto"/>
                <w:sz w:val="16"/>
                <w:szCs w:val="16"/>
              </w:rPr>
            </w:pPr>
            <w:r w:rsidRPr="7EA0B018">
              <w:rPr>
                <w:sz w:val="16"/>
                <w:szCs w:val="16"/>
              </w:rPr>
              <w:t>Can place mining activities at risk, which can result in loss of power generation; can cause asset damage and disrupt</w:t>
            </w:r>
            <w:r w:rsidR="08F1AFBA" w:rsidRPr="7EA0B018">
              <w:rPr>
                <w:sz w:val="16"/>
                <w:szCs w:val="16"/>
              </w:rPr>
              <w:t xml:space="preserve"> access,</w:t>
            </w:r>
            <w:r w:rsidRPr="7EA0B018">
              <w:rPr>
                <w:sz w:val="16"/>
                <w:szCs w:val="16"/>
              </w:rPr>
              <w:t xml:space="preserve"> road freight and supply chains</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0D01" w14:textId="16546302" w:rsidR="003D4277" w:rsidRPr="000D465D" w:rsidRDefault="003D4277"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D465D">
              <w:rPr>
                <w:sz w:val="16"/>
                <w:szCs w:val="16"/>
              </w:rPr>
              <w:t>VicSES</w:t>
            </w:r>
            <w:proofErr w:type="spellEnd"/>
          </w:p>
        </w:tc>
      </w:tr>
      <w:tr w:rsidR="00AF2CA0" w:rsidRPr="003907AC" w14:paraId="36880612"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027D" w14:textId="77777777" w:rsidR="003D4277" w:rsidRPr="000D465D" w:rsidRDefault="003D4277" w:rsidP="00DD2A1D">
            <w:pPr>
              <w:rPr>
                <w:sz w:val="16"/>
                <w:szCs w:val="16"/>
              </w:rPr>
            </w:pPr>
            <w:r w:rsidRPr="000D465D">
              <w:rPr>
                <w:sz w:val="16"/>
                <w:szCs w:val="16"/>
              </w:rPr>
              <w:t xml:space="preserve">Hazardous materials </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305FBD" w14:textId="77777777"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Incidents impacting energy infrastructure can include gas leakage and other hazardous materials.</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57F78" w14:textId="4AFAD9B7"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FRV</w:t>
            </w:r>
          </w:p>
        </w:tc>
      </w:tr>
      <w:tr w:rsidR="00AF2CA0" w:rsidRPr="003907AC" w14:paraId="3E03E7A0"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B476" w14:textId="77777777" w:rsidR="003D4277" w:rsidRPr="000D465D" w:rsidRDefault="003D4277" w:rsidP="00DD2A1D">
            <w:pPr>
              <w:rPr>
                <w:sz w:val="16"/>
                <w:szCs w:val="16"/>
              </w:rPr>
            </w:pPr>
            <w:r w:rsidRPr="000D465D">
              <w:rPr>
                <w:sz w:val="16"/>
                <w:szCs w:val="16"/>
              </w:rPr>
              <w:t>Heat</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74E0D720" w14:textId="5A783762" w:rsidR="003D4277" w:rsidRPr="000D465D" w:rsidRDefault="33F28C8D"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r w:rsidRPr="70E080EC">
              <w:rPr>
                <w:sz w:val="16"/>
                <w:szCs w:val="16"/>
              </w:rPr>
              <w:t xml:space="preserve">A sustained period of high temperatures (heatwave) or a single day of higher-than-average temperature can increase electricity demand and reduce efficient </w:t>
            </w:r>
            <w:r w:rsidR="0D7FA00D" w:rsidRPr="70E080EC">
              <w:rPr>
                <w:sz w:val="16"/>
                <w:szCs w:val="16"/>
              </w:rPr>
              <w:t>generation and</w:t>
            </w:r>
            <w:r w:rsidR="23E779C4" w:rsidRPr="70E080EC">
              <w:rPr>
                <w:sz w:val="16"/>
                <w:szCs w:val="16"/>
              </w:rPr>
              <w:t xml:space="preserve"> can disrupt gas production and transmission.</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9D2AB" w14:textId="379288DA" w:rsidR="003D4277" w:rsidRPr="000D465D" w:rsidRDefault="00AF2CA0"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r w:rsidRPr="000D465D">
              <w:rPr>
                <w:sz w:val="16"/>
                <w:szCs w:val="16"/>
              </w:rPr>
              <w:t>Emergency Management Victoria (EMV)</w:t>
            </w:r>
          </w:p>
        </w:tc>
      </w:tr>
      <w:tr w:rsidR="00D27C4E" w:rsidRPr="003907AC" w14:paraId="0D6E935E"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E669B" w14:textId="0C71069F" w:rsidR="00D27C4E" w:rsidRPr="000D465D" w:rsidRDefault="00D27C4E" w:rsidP="00DD2A1D">
            <w:pPr>
              <w:rPr>
                <w:sz w:val="16"/>
                <w:szCs w:val="16"/>
              </w:rPr>
            </w:pPr>
            <w:r w:rsidRPr="000D465D">
              <w:rPr>
                <w:sz w:val="16"/>
                <w:szCs w:val="16"/>
              </w:rPr>
              <w:t>Landslide</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333901" w14:textId="5A47FEA8" w:rsidR="00D27C4E" w:rsidRPr="000D465D" w:rsidRDefault="00D27C4E"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 xml:space="preserve">Can cause damage to </w:t>
            </w:r>
            <w:r w:rsidR="00360DC8" w:rsidRPr="000D465D">
              <w:rPr>
                <w:sz w:val="16"/>
                <w:szCs w:val="16"/>
              </w:rPr>
              <w:t xml:space="preserve">gas, </w:t>
            </w:r>
            <w:proofErr w:type="gramStart"/>
            <w:r w:rsidR="00360DC8" w:rsidRPr="000D465D">
              <w:rPr>
                <w:sz w:val="16"/>
                <w:szCs w:val="16"/>
              </w:rPr>
              <w:t>electricity</w:t>
            </w:r>
            <w:proofErr w:type="gramEnd"/>
            <w:r w:rsidR="00360DC8" w:rsidRPr="000D465D">
              <w:rPr>
                <w:sz w:val="16"/>
                <w:szCs w:val="16"/>
              </w:rPr>
              <w:t xml:space="preserve"> or liquid fuels infrastructure</w:t>
            </w:r>
            <w:r w:rsidR="00BB31AB">
              <w:rPr>
                <w:sz w:val="16"/>
                <w:szCs w:val="16"/>
              </w:rPr>
              <w:t xml:space="preserve"> with localised or widespread impact</w:t>
            </w:r>
            <w:r w:rsidR="00360DC8" w:rsidRPr="000D465D">
              <w:rPr>
                <w:sz w:val="16"/>
                <w:szCs w:val="16"/>
              </w:rPr>
              <w:t xml:space="preserve"> </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1E9609" w14:textId="2FE37B00" w:rsidR="00D27C4E" w:rsidRPr="000D465D" w:rsidRDefault="00360DC8"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D465D">
              <w:rPr>
                <w:sz w:val="16"/>
                <w:szCs w:val="16"/>
              </w:rPr>
              <w:t>VicSES</w:t>
            </w:r>
            <w:proofErr w:type="spellEnd"/>
          </w:p>
        </w:tc>
      </w:tr>
      <w:tr w:rsidR="00AF2CA0" w:rsidRPr="003907AC" w14:paraId="255C0861"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C88E" w14:textId="77777777" w:rsidR="003D4277" w:rsidRPr="000D465D" w:rsidRDefault="003D4277" w:rsidP="00DD2A1D">
            <w:pPr>
              <w:rPr>
                <w:sz w:val="16"/>
                <w:szCs w:val="16"/>
              </w:rPr>
            </w:pPr>
            <w:r w:rsidRPr="000D465D">
              <w:rPr>
                <w:sz w:val="16"/>
                <w:szCs w:val="16"/>
              </w:rPr>
              <w:t>Pandemic</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FCAD9" w14:textId="77777777" w:rsidR="003D4277" w:rsidRPr="000D465D" w:rsidRDefault="003D4277"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r w:rsidRPr="000D465D">
              <w:rPr>
                <w:sz w:val="16"/>
                <w:szCs w:val="16"/>
              </w:rPr>
              <w:t>Can impact critical workforce availability across the supply chain</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945C9D1" w14:textId="661EE416" w:rsidR="003D4277" w:rsidRPr="000D465D" w:rsidRDefault="3740C5C8" w:rsidP="00DD2A1D">
            <w:pPr>
              <w:ind w:left="134"/>
              <w:cnfStyle w:val="000000000000" w:firstRow="0" w:lastRow="0" w:firstColumn="0" w:lastColumn="0" w:oddVBand="0" w:evenVBand="0" w:oddHBand="0" w:evenHBand="0" w:firstRowFirstColumn="0" w:firstRowLastColumn="0" w:lastRowFirstColumn="0" w:lastRowLastColumn="0"/>
              <w:rPr>
                <w:sz w:val="16"/>
                <w:szCs w:val="16"/>
              </w:rPr>
            </w:pPr>
            <w:r w:rsidRPr="70E080EC">
              <w:rPr>
                <w:sz w:val="16"/>
                <w:szCs w:val="16"/>
              </w:rPr>
              <w:t>Department of Health (</w:t>
            </w:r>
            <w:r w:rsidR="568844FA" w:rsidRPr="70E080EC">
              <w:rPr>
                <w:sz w:val="16"/>
                <w:szCs w:val="16"/>
              </w:rPr>
              <w:t>DH</w:t>
            </w:r>
            <w:r w:rsidRPr="70E080EC">
              <w:rPr>
                <w:sz w:val="16"/>
                <w:szCs w:val="16"/>
              </w:rPr>
              <w:t>)</w:t>
            </w:r>
          </w:p>
        </w:tc>
      </w:tr>
      <w:tr w:rsidR="00AF2CA0" w:rsidRPr="003907AC" w14:paraId="1E1186D4"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A4695" w14:textId="77777777" w:rsidR="003D4277" w:rsidRPr="000D465D" w:rsidRDefault="003D4277" w:rsidP="00DD2A1D">
            <w:pPr>
              <w:rPr>
                <w:b w:val="0"/>
                <w:sz w:val="16"/>
                <w:szCs w:val="16"/>
              </w:rPr>
            </w:pPr>
            <w:r w:rsidRPr="000D465D">
              <w:rPr>
                <w:sz w:val="16"/>
                <w:szCs w:val="16"/>
              </w:rPr>
              <w:t>Severe storms</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433297B2" w14:textId="77777777"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r w:rsidRPr="000D465D">
              <w:rPr>
                <w:sz w:val="16"/>
                <w:szCs w:val="16"/>
              </w:rPr>
              <w:t>Can cause extensive asset damage to electricity distribution or transmission network infrastructure, resulting in widespread power outages.</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F27224" w14:textId="35C1428D" w:rsidR="003D4277" w:rsidRPr="000D465D" w:rsidRDefault="003D4277" w:rsidP="00DD2A1D">
            <w:pPr>
              <w:ind w:left="134"/>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D465D">
              <w:rPr>
                <w:sz w:val="16"/>
                <w:szCs w:val="16"/>
              </w:rPr>
              <w:t>VicSES</w:t>
            </w:r>
            <w:proofErr w:type="spellEnd"/>
          </w:p>
        </w:tc>
      </w:tr>
      <w:tr w:rsidR="000D465D" w:rsidRPr="003907AC" w14:paraId="3C77A84F"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ACAFF" w14:textId="017B90E1" w:rsidR="000D465D" w:rsidRPr="00360DC8" w:rsidRDefault="00915645" w:rsidP="00DD2A1D">
            <w:pPr>
              <w:rPr>
                <w:sz w:val="18"/>
                <w:szCs w:val="18"/>
              </w:rPr>
            </w:pPr>
            <w:r>
              <w:rPr>
                <w:sz w:val="16"/>
                <w:szCs w:val="16"/>
              </w:rPr>
              <w:t>W</w:t>
            </w:r>
            <w:r w:rsidRPr="00915645">
              <w:rPr>
                <w:sz w:val="16"/>
                <w:szCs w:val="16"/>
              </w:rPr>
              <w:t xml:space="preserve">arlike act or act of terrorism, hijack, </w:t>
            </w:r>
            <w:proofErr w:type="gramStart"/>
            <w:r w:rsidRPr="00915645">
              <w:rPr>
                <w:sz w:val="16"/>
                <w:szCs w:val="16"/>
              </w:rPr>
              <w:t>siege</w:t>
            </w:r>
            <w:proofErr w:type="gramEnd"/>
            <w:r w:rsidRPr="00915645">
              <w:rPr>
                <w:sz w:val="16"/>
                <w:szCs w:val="16"/>
              </w:rPr>
              <w:t xml:space="preserve"> or riot</w:t>
            </w:r>
          </w:p>
        </w:tc>
        <w:tc>
          <w:tcPr>
            <w:tcW w:w="414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A5A0C" w14:textId="455FA311" w:rsidR="000D465D" w:rsidRPr="00360DC8" w:rsidRDefault="000D465D" w:rsidP="00DD2A1D">
            <w:pPr>
              <w:ind w:left="134"/>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sz w:val="16"/>
                <w:szCs w:val="16"/>
              </w:rPr>
              <w:t>Can cause</w:t>
            </w:r>
            <w:r w:rsidRPr="000F70D4">
              <w:rPr>
                <w:rFonts w:ascii="Arial" w:hAnsi="Arial"/>
                <w:sz w:val="16"/>
                <w:szCs w:val="16"/>
              </w:rPr>
              <w:t xml:space="preserve"> </w:t>
            </w:r>
            <w:r>
              <w:rPr>
                <w:rFonts w:ascii="Arial" w:hAnsi="Arial"/>
                <w:sz w:val="16"/>
                <w:szCs w:val="16"/>
              </w:rPr>
              <w:t>infrastructure</w:t>
            </w:r>
            <w:r w:rsidRPr="000F70D4">
              <w:rPr>
                <w:rFonts w:ascii="Arial" w:hAnsi="Arial"/>
                <w:sz w:val="16"/>
                <w:szCs w:val="16"/>
              </w:rPr>
              <w:t xml:space="preserve"> damage</w:t>
            </w:r>
            <w:r w:rsidR="00240640">
              <w:rPr>
                <w:rFonts w:ascii="Arial" w:hAnsi="Arial"/>
                <w:sz w:val="16"/>
                <w:szCs w:val="16"/>
              </w:rPr>
              <w:t>, supply chain disruption</w:t>
            </w:r>
            <w:r w:rsidRPr="000F70D4">
              <w:rPr>
                <w:rFonts w:ascii="Arial" w:hAnsi="Arial"/>
                <w:sz w:val="16"/>
                <w:szCs w:val="16"/>
              </w:rPr>
              <w:t xml:space="preserve"> and/or harm to employees</w:t>
            </w:r>
            <w:r>
              <w:rPr>
                <w:rFonts w:ascii="Arial" w:hAnsi="Arial"/>
                <w:sz w:val="16"/>
                <w:szCs w:val="16"/>
              </w:rPr>
              <w:t xml:space="preserve">, </w:t>
            </w:r>
            <w:r w:rsidR="00BB31AB">
              <w:rPr>
                <w:sz w:val="16"/>
                <w:szCs w:val="16"/>
              </w:rPr>
              <w:t>with localised or widespread impact</w:t>
            </w: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D6E27" w14:textId="2EB041EF" w:rsidR="000D465D" w:rsidRPr="00360DC8" w:rsidRDefault="00915645" w:rsidP="00DD2A1D">
            <w:pPr>
              <w:ind w:left="134"/>
              <w:cnfStyle w:val="000000000000" w:firstRow="0" w:lastRow="0" w:firstColumn="0" w:lastColumn="0" w:oddVBand="0" w:evenVBand="0" w:oddHBand="0" w:evenHBand="0" w:firstRowFirstColumn="0" w:firstRowLastColumn="0" w:lastRowFirstColumn="0" w:lastRowLastColumn="0"/>
              <w:rPr>
                <w:sz w:val="18"/>
                <w:szCs w:val="18"/>
              </w:rPr>
            </w:pPr>
            <w:r w:rsidRPr="00915645">
              <w:rPr>
                <w:sz w:val="16"/>
                <w:szCs w:val="16"/>
              </w:rPr>
              <w:t>Victoria Police</w:t>
            </w:r>
            <w:r>
              <w:rPr>
                <w:sz w:val="16"/>
                <w:szCs w:val="16"/>
              </w:rPr>
              <w:t xml:space="preserve"> (VicPol)</w:t>
            </w:r>
          </w:p>
        </w:tc>
      </w:tr>
    </w:tbl>
    <w:p w14:paraId="216E2BE3" w14:textId="77777777" w:rsidR="00DD2A1D" w:rsidRPr="003907AC" w:rsidRDefault="00DD2A1D" w:rsidP="00DD2A1D"/>
    <w:p w14:paraId="1A967823" w14:textId="59A4334C" w:rsidR="00DD2A1D" w:rsidRPr="003907AC" w:rsidRDefault="00DD2A1D" w:rsidP="00DD2A1D">
      <w:pPr>
        <w:pStyle w:val="Caption"/>
      </w:pPr>
      <w:r w:rsidRPr="003907AC">
        <w:lastRenderedPageBreak/>
        <w:t xml:space="preserve">Figure </w:t>
      </w:r>
      <w:r w:rsidRPr="003907AC">
        <w:fldChar w:fldCharType="begin"/>
      </w:r>
      <w:r w:rsidRPr="003907AC">
        <w:instrText>SEQ Figure \* ARABIC</w:instrText>
      </w:r>
      <w:r w:rsidRPr="003907AC">
        <w:fldChar w:fldCharType="separate"/>
      </w:r>
      <w:r w:rsidR="00A45804">
        <w:rPr>
          <w:noProof/>
        </w:rPr>
        <w:t>2</w:t>
      </w:r>
      <w:r w:rsidRPr="003907AC">
        <w:fldChar w:fldCharType="end"/>
      </w:r>
      <w:r w:rsidRPr="003907AC">
        <w:t xml:space="preserve">: </w:t>
      </w:r>
      <w:r w:rsidR="008A13F1">
        <w:t>E</w:t>
      </w:r>
      <w:r w:rsidRPr="003907AC">
        <w:t xml:space="preserve">xample of control arrangements for concurrent Class 2 emergency (energy) </w:t>
      </w:r>
      <w:r w:rsidRPr="003907AC">
        <w:rPr>
          <w:noProof/>
        </w:rPr>
        <w:t>and Class 1 emergency</w:t>
      </w:r>
    </w:p>
    <w:p w14:paraId="198B93EF" w14:textId="77777777" w:rsidR="00DD2A1D" w:rsidRPr="003907AC" w:rsidRDefault="00DD2A1D" w:rsidP="00DD2A1D">
      <w:pPr>
        <w:rPr>
          <w:b/>
          <w:bCs/>
        </w:rPr>
      </w:pPr>
      <w:r w:rsidRPr="003907AC">
        <w:rPr>
          <w:b/>
          <w:bCs/>
          <w:noProof/>
        </w:rPr>
        <w:drawing>
          <wp:inline distT="0" distB="0" distL="0" distR="0" wp14:anchorId="0E8453D9" wp14:editId="0591568C">
            <wp:extent cx="4986655" cy="4700270"/>
            <wp:effectExtent l="0" t="0" r="4445" b="5080"/>
            <wp:docPr id="7544" name="Picture 7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6655" cy="4700270"/>
                    </a:xfrm>
                    <a:prstGeom prst="rect">
                      <a:avLst/>
                    </a:prstGeom>
                    <a:noFill/>
                  </pic:spPr>
                </pic:pic>
              </a:graphicData>
            </a:graphic>
          </wp:inline>
        </w:drawing>
      </w:r>
      <w:r w:rsidRPr="003907AC">
        <w:rPr>
          <w:b/>
          <w:bCs/>
        </w:rPr>
        <w:br w:type="page"/>
      </w:r>
    </w:p>
    <w:p w14:paraId="1AB6FAAA" w14:textId="77777777" w:rsidR="00DD2A1D" w:rsidRPr="003907AC" w:rsidRDefault="00DD2A1D" w:rsidP="00DD2A1D">
      <w:pPr>
        <w:pStyle w:val="Heading2"/>
      </w:pPr>
      <w:bookmarkStart w:id="1329" w:name="_Toc90319418"/>
      <w:bookmarkStart w:id="1330" w:name="_Toc94013195"/>
      <w:bookmarkStart w:id="1331" w:name="_Toc1375272782"/>
      <w:bookmarkStart w:id="1332" w:name="_Toc2124480186"/>
      <w:bookmarkStart w:id="1333" w:name="_Toc1818104"/>
      <w:bookmarkStart w:id="1334" w:name="_Toc2118959876"/>
      <w:bookmarkStart w:id="1335" w:name="_Toc724475807"/>
      <w:bookmarkStart w:id="1336" w:name="_Toc780321674"/>
      <w:bookmarkStart w:id="1337" w:name="_Toc2085120609"/>
      <w:bookmarkStart w:id="1338" w:name="_Toc117983674"/>
      <w:bookmarkStart w:id="1339" w:name="_Toc1072325643"/>
      <w:bookmarkStart w:id="1340" w:name="_Toc2101389234"/>
      <w:bookmarkStart w:id="1341" w:name="_Toc264957702"/>
      <w:bookmarkStart w:id="1342" w:name="_Toc235176261"/>
      <w:bookmarkStart w:id="1343" w:name="_Toc1601343643"/>
      <w:bookmarkStart w:id="1344" w:name="_Toc1356796764"/>
      <w:bookmarkStart w:id="1345" w:name="_Toc135972342"/>
      <w:bookmarkStart w:id="1346" w:name="_Toc522193312"/>
      <w:bookmarkStart w:id="1347" w:name="_Toc1678775951"/>
      <w:bookmarkStart w:id="1348" w:name="_Toc582537380"/>
      <w:bookmarkStart w:id="1349" w:name="_Toc2094653161"/>
      <w:bookmarkStart w:id="1350" w:name="_Toc1430932333"/>
      <w:bookmarkStart w:id="1351" w:name="_Toc1092551553"/>
      <w:bookmarkStart w:id="1352" w:name="_Toc1750554254"/>
      <w:bookmarkStart w:id="1353" w:name="_Toc1475301384"/>
      <w:bookmarkStart w:id="1354" w:name="_Toc20629164"/>
      <w:bookmarkStart w:id="1355" w:name="_Toc1474657657"/>
      <w:bookmarkStart w:id="1356" w:name="_Toc1162936212"/>
      <w:bookmarkStart w:id="1357" w:name="_Toc634856150"/>
      <w:bookmarkStart w:id="1358" w:name="_Toc1290746661"/>
      <w:bookmarkStart w:id="1359" w:name="_Toc1645987828"/>
      <w:bookmarkStart w:id="1360" w:name="_Toc1714046314"/>
      <w:bookmarkStart w:id="1361" w:name="_Toc1554050883"/>
      <w:bookmarkStart w:id="1362" w:name="_Toc612155203"/>
      <w:bookmarkStart w:id="1363" w:name="_Toc184075582"/>
      <w:bookmarkStart w:id="1364" w:name="_Toc297046899"/>
      <w:bookmarkStart w:id="1365" w:name="_Toc238694817"/>
      <w:bookmarkStart w:id="1366" w:name="_Toc544995959"/>
      <w:bookmarkStart w:id="1367" w:name="_Toc1410158330"/>
      <w:bookmarkStart w:id="1368" w:name="_Toc1241328936"/>
      <w:bookmarkStart w:id="1369" w:name="_Toc902674431"/>
      <w:bookmarkStart w:id="1370" w:name="_Toc2113051532"/>
      <w:bookmarkStart w:id="1371" w:name="_Toc397341224"/>
      <w:bookmarkStart w:id="1372" w:name="_Toc1181639625"/>
      <w:bookmarkStart w:id="1373" w:name="_Toc175204299"/>
      <w:bookmarkStart w:id="1374" w:name="_Toc704926249"/>
      <w:bookmarkStart w:id="1375" w:name="_Toc876966940"/>
      <w:r>
        <w:lastRenderedPageBreak/>
        <w:t>Application of State Emergency Management Priorities</w:t>
      </w:r>
      <w:bookmarkEnd w:id="1329"/>
      <w:bookmarkEnd w:id="1330"/>
      <w:r>
        <w:t xml:space="preserve"> </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78BB0021" w14:textId="577BE21A" w:rsidR="00DD2A1D" w:rsidRPr="003907AC" w:rsidRDefault="00DD2A1D" w:rsidP="00AD2AC8">
      <w:pPr>
        <w:pStyle w:val="BodyText"/>
      </w:pPr>
      <w:r w:rsidRPr="003907AC">
        <w:t xml:space="preserve">During a response to any </w:t>
      </w:r>
      <w:r w:rsidRPr="00AD2AC8">
        <w:t>emergency</w:t>
      </w:r>
      <w:r w:rsidRPr="003907AC">
        <w:t xml:space="preserve">, decisions are underpinned and guided by the </w:t>
      </w:r>
      <w:hyperlink r:id="rId23" w:history="1">
        <w:r w:rsidRPr="003907AC">
          <w:rPr>
            <w:rStyle w:val="Hyperlink"/>
            <w:color w:val="00857E" w:themeColor="accent1" w:themeShade="BF"/>
          </w:rPr>
          <w:t>State Emergency Management Priorities</w:t>
        </w:r>
      </w:hyperlink>
      <w:r w:rsidRPr="003907AC">
        <w:t>.</w:t>
      </w:r>
    </w:p>
    <w:p w14:paraId="3900F0EB" w14:textId="7E11897E" w:rsidR="00DD2A1D" w:rsidRPr="003907AC" w:rsidRDefault="00DD2A1D" w:rsidP="00DD2A1D">
      <w:pPr>
        <w:pStyle w:val="Caption"/>
      </w:pPr>
      <w:r w:rsidRPr="003907AC">
        <w:t xml:space="preserve">Table </w:t>
      </w:r>
      <w:r w:rsidRPr="003907AC">
        <w:fldChar w:fldCharType="begin"/>
      </w:r>
      <w:r w:rsidRPr="003907AC">
        <w:instrText>SEQ Table \* ARABIC</w:instrText>
      </w:r>
      <w:r w:rsidRPr="003907AC">
        <w:fldChar w:fldCharType="separate"/>
      </w:r>
      <w:r w:rsidR="00A45804">
        <w:rPr>
          <w:noProof/>
        </w:rPr>
        <w:t>5</w:t>
      </w:r>
      <w:r w:rsidRPr="003907AC">
        <w:fldChar w:fldCharType="end"/>
      </w:r>
      <w:r w:rsidR="0092494E">
        <w:t>:</w:t>
      </w:r>
      <w:r w:rsidRPr="003907AC">
        <w:t xml:space="preserve"> State Emergency Management Priorities – Energy</w:t>
      </w:r>
    </w:p>
    <w:tbl>
      <w:tblPr>
        <w:tblStyle w:val="GridTable5Dark-Accent1"/>
        <w:tblW w:w="9351" w:type="dxa"/>
        <w:tblCellSpacing w:w="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42"/>
        <w:gridCol w:w="5709"/>
      </w:tblGrid>
      <w:tr w:rsidR="004018E3" w:rsidRPr="004018E3" w14:paraId="3F46BF0B" w14:textId="77777777" w:rsidTr="003B40FE">
        <w:trPr>
          <w:cnfStyle w:val="100000000000" w:firstRow="1" w:lastRow="0" w:firstColumn="0" w:lastColumn="0" w:oddVBand="0" w:evenVBand="0" w:oddHBand="0" w:evenHBand="0" w:firstRowFirstColumn="0" w:firstRowLastColumn="0" w:lastRowFirstColumn="0" w:lastRowLastColumn="0"/>
          <w:tblHeader/>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hideMark/>
          </w:tcPr>
          <w:p w14:paraId="742735D1" w14:textId="77777777" w:rsidR="00DD2A1D" w:rsidRPr="003B40FE" w:rsidRDefault="00DD2A1D" w:rsidP="00DD2A1D">
            <w:pPr>
              <w:spacing w:before="40" w:after="40"/>
              <w:rPr>
                <w:szCs w:val="22"/>
              </w:rPr>
            </w:pPr>
            <w:r w:rsidRPr="003B40FE">
              <w:rPr>
                <w:szCs w:val="22"/>
              </w:rPr>
              <w:t>State Emergency Management Priorities  </w:t>
            </w:r>
          </w:p>
        </w:tc>
        <w:tc>
          <w:tcPr>
            <w:tcW w:w="5745" w:type="dxa"/>
            <w:shd w:val="clear" w:color="auto" w:fill="363534" w:themeFill="text1"/>
            <w:hideMark/>
          </w:tcPr>
          <w:p w14:paraId="1F4899F3" w14:textId="77777777" w:rsidR="00DD2A1D" w:rsidRPr="003B40FE" w:rsidRDefault="00DD2A1D" w:rsidP="00DD2A1D">
            <w:pPr>
              <w:spacing w:before="40" w:after="40"/>
              <w:cnfStyle w:val="100000000000" w:firstRow="1" w:lastRow="0" w:firstColumn="0" w:lastColumn="0" w:oddVBand="0" w:evenVBand="0" w:oddHBand="0" w:evenHBand="0" w:firstRowFirstColumn="0" w:firstRowLastColumn="0" w:lastRowFirstColumn="0" w:lastRowLastColumn="0"/>
              <w:rPr>
                <w:szCs w:val="22"/>
              </w:rPr>
            </w:pPr>
            <w:r w:rsidRPr="003B40FE">
              <w:rPr>
                <w:szCs w:val="22"/>
              </w:rPr>
              <w:t>Application for Class 2 emergency (energy) </w:t>
            </w:r>
          </w:p>
        </w:tc>
      </w:tr>
      <w:tr w:rsidR="004018E3" w:rsidRPr="004018E3" w14:paraId="3EC60A56" w14:textId="77777777" w:rsidTr="003B40FE">
        <w:trPr>
          <w:cnfStyle w:val="000000100000" w:firstRow="0" w:lastRow="0" w:firstColumn="0" w:lastColumn="0" w:oddVBand="0" w:evenVBand="0" w:oddHBand="1" w:evenHBand="0" w:firstRowFirstColumn="0" w:firstRowLastColumn="0" w:lastRowFirstColumn="0" w:lastRowLastColumn="0"/>
          <w:trHeight w:val="1185"/>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181BD294" w14:textId="77777777" w:rsidR="00DD2A1D" w:rsidRPr="003B40FE" w:rsidRDefault="00DD2A1D" w:rsidP="00DD2A1D">
            <w:pPr>
              <w:spacing w:before="40" w:after="40"/>
            </w:pPr>
            <w:r w:rsidRPr="003B40FE">
              <w:rPr>
                <w:sz w:val="16"/>
                <w:szCs w:val="16"/>
              </w:rPr>
              <w:t>Protection and preservation of life and relief of suffering is paramount.  Including the safety of emergency response personnel, and of community members including vulnerable community members and visitors/tourists</w:t>
            </w:r>
          </w:p>
        </w:tc>
        <w:tc>
          <w:tcPr>
            <w:tcW w:w="5745" w:type="dxa"/>
            <w:shd w:val="clear" w:color="auto" w:fill="auto"/>
            <w:vAlign w:val="center"/>
            <w:hideMark/>
          </w:tcPr>
          <w:p w14:paraId="7E6A3979" w14:textId="77777777" w:rsidR="00DD2A1D" w:rsidRPr="004018E3" w:rsidRDefault="00DD2A1D" w:rsidP="00DD2A1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The protection of life always takes primacy during electricity or gas supply disruption.  Energy emergencies may pose a significant risk to safety, health and wellbeing of emergency response personnel and the community during and after an emergency. </w:t>
            </w:r>
          </w:p>
          <w:p w14:paraId="4C2BE29F" w14:textId="77777777" w:rsidR="00DD2A1D" w:rsidRPr="004018E3" w:rsidRDefault="00DD2A1D" w:rsidP="00DD2A1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Safety information for emergency response personnel and the community about dangers – including the risk of electrocution from fallen power lines, and hazardous smoke and gasses – is a key priority.</w:t>
            </w:r>
          </w:p>
          <w:p w14:paraId="4AA1DDC7" w14:textId="4AD04421" w:rsidR="00DD2A1D" w:rsidRPr="004018E3" w:rsidRDefault="00DD2A1D" w:rsidP="00DD2A1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 xml:space="preserve">Coordination and dissemination of accurate, timely and fit-for-purpose impact data informs planning and delivery of health and wellbeing support, noting some people are particularly vulnerable to energy supply disruptions. </w:t>
            </w:r>
          </w:p>
        </w:tc>
      </w:tr>
      <w:tr w:rsidR="004018E3" w:rsidRPr="004018E3" w14:paraId="7FF03EA5" w14:textId="77777777" w:rsidTr="003B40FE">
        <w:trPr>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4E87666C" w14:textId="77777777" w:rsidR="00DD2A1D" w:rsidRPr="003B40FE" w:rsidRDefault="00DD2A1D" w:rsidP="00DD2A1D">
            <w:pPr>
              <w:spacing w:before="40" w:after="40"/>
              <w:rPr>
                <w:sz w:val="16"/>
                <w:szCs w:val="16"/>
              </w:rPr>
            </w:pPr>
            <w:r w:rsidRPr="003B40FE">
              <w:rPr>
                <w:sz w:val="16"/>
                <w:szCs w:val="16"/>
              </w:rPr>
              <w:t xml:space="preserve">Issuing of community information and community warnings detailing incident information that is timely, </w:t>
            </w:r>
            <w:proofErr w:type="gramStart"/>
            <w:r w:rsidRPr="003B40FE">
              <w:rPr>
                <w:sz w:val="16"/>
                <w:szCs w:val="16"/>
              </w:rPr>
              <w:t>relevant</w:t>
            </w:r>
            <w:proofErr w:type="gramEnd"/>
            <w:r w:rsidRPr="003B40FE">
              <w:rPr>
                <w:sz w:val="16"/>
                <w:szCs w:val="16"/>
              </w:rPr>
              <w:t xml:space="preserve"> and tailored to assist community members make informed decisions about their safety.  </w:t>
            </w:r>
          </w:p>
        </w:tc>
        <w:tc>
          <w:tcPr>
            <w:tcW w:w="5745" w:type="dxa"/>
            <w:shd w:val="clear" w:color="auto" w:fill="auto"/>
            <w:vAlign w:val="center"/>
            <w:hideMark/>
          </w:tcPr>
          <w:p w14:paraId="3B712DA1" w14:textId="77777777" w:rsidR="00DD2A1D" w:rsidRPr="004018E3" w:rsidRDefault="00DD2A1D" w:rsidP="00DD2A1D">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018E3">
              <w:rPr>
                <w:sz w:val="16"/>
                <w:szCs w:val="16"/>
              </w:rPr>
              <w:t xml:space="preserve">DELWP will coordinate with AEMO, electricity/gas distribution businesses, ESV and owners/operators of infrastructure, </w:t>
            </w:r>
            <w:proofErr w:type="gramStart"/>
            <w:r w:rsidRPr="004018E3">
              <w:rPr>
                <w:sz w:val="16"/>
                <w:szCs w:val="16"/>
              </w:rPr>
              <w:t>transmission</w:t>
            </w:r>
            <w:proofErr w:type="gramEnd"/>
            <w:r w:rsidRPr="004018E3">
              <w:rPr>
                <w:sz w:val="16"/>
                <w:szCs w:val="16"/>
              </w:rPr>
              <w:t xml:space="preserve"> and distribution assets to prepare and deliver information and community warnings. Community messaging will vary based on the location, </w:t>
            </w:r>
            <w:proofErr w:type="gramStart"/>
            <w:r w:rsidRPr="004018E3">
              <w:rPr>
                <w:sz w:val="16"/>
                <w:szCs w:val="16"/>
              </w:rPr>
              <w:t>type</w:t>
            </w:r>
            <w:proofErr w:type="gramEnd"/>
            <w:r w:rsidRPr="004018E3">
              <w:rPr>
                <w:sz w:val="16"/>
                <w:szCs w:val="16"/>
              </w:rPr>
              <w:t xml:space="preserve"> and duration of the emergency. </w:t>
            </w:r>
          </w:p>
        </w:tc>
      </w:tr>
      <w:tr w:rsidR="004018E3" w:rsidRPr="004018E3" w14:paraId="44440655" w14:textId="77777777" w:rsidTr="003B40FE">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3EA032E2" w14:textId="77777777" w:rsidR="00DD2A1D" w:rsidRPr="003B40FE" w:rsidRDefault="00DD2A1D" w:rsidP="00DD2A1D">
            <w:pPr>
              <w:spacing w:before="40" w:after="40"/>
              <w:rPr>
                <w:sz w:val="16"/>
                <w:szCs w:val="16"/>
              </w:rPr>
            </w:pPr>
            <w:r w:rsidRPr="003B40FE">
              <w:rPr>
                <w:sz w:val="16"/>
                <w:szCs w:val="16"/>
              </w:rPr>
              <w:t>Protection of critical infrastructure and community assets that support community resilience. </w:t>
            </w:r>
          </w:p>
        </w:tc>
        <w:tc>
          <w:tcPr>
            <w:tcW w:w="5745" w:type="dxa"/>
            <w:shd w:val="clear" w:color="auto" w:fill="auto"/>
            <w:vAlign w:val="center"/>
            <w:hideMark/>
          </w:tcPr>
          <w:p w14:paraId="22CCD428" w14:textId="77777777" w:rsidR="00DD2A1D" w:rsidRPr="004018E3" w:rsidRDefault="00DD2A1D" w:rsidP="003D4277">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 xml:space="preserve">The failure of energy critical infrastructure and other assets that support individual livelihoods can compound the health and safety of communities, </w:t>
            </w:r>
            <w:proofErr w:type="gramStart"/>
            <w:r w:rsidRPr="004018E3">
              <w:rPr>
                <w:sz w:val="16"/>
                <w:szCs w:val="16"/>
              </w:rPr>
              <w:t>business</w:t>
            </w:r>
            <w:proofErr w:type="gramEnd"/>
            <w:r w:rsidRPr="004018E3">
              <w:rPr>
                <w:sz w:val="16"/>
                <w:szCs w:val="16"/>
              </w:rPr>
              <w:t xml:space="preserve"> and industry. Agencies with a role in protecting critical infrastructure must prepare, </w:t>
            </w:r>
            <w:proofErr w:type="gramStart"/>
            <w:r w:rsidRPr="004018E3">
              <w:rPr>
                <w:sz w:val="16"/>
                <w:szCs w:val="16"/>
              </w:rPr>
              <w:t>test</w:t>
            </w:r>
            <w:proofErr w:type="gramEnd"/>
            <w:r w:rsidRPr="004018E3">
              <w:rPr>
                <w:sz w:val="16"/>
                <w:szCs w:val="16"/>
              </w:rPr>
              <w:t xml:space="preserve"> and update their business continuity plans (as required under the Emergency Management Act 2013) to reduce the disruption caused by an energy emergency. </w:t>
            </w:r>
          </w:p>
          <w:p w14:paraId="26F3C405" w14:textId="77777777" w:rsidR="00DD2A1D" w:rsidRPr="004018E3" w:rsidRDefault="00DD2A1D" w:rsidP="003D4277">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Identification and management of energy disruption on critical infrastructure and community assets is a key focus of responding to an energy emergency.</w:t>
            </w:r>
          </w:p>
          <w:p w14:paraId="70B3C436" w14:textId="77777777" w:rsidR="00DD2A1D" w:rsidRPr="004018E3" w:rsidRDefault="00DD2A1D" w:rsidP="003D4277">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 xml:space="preserve">Timely and effective two-way information sharing supports critical infrastructure and community assets that support community resilience: </w:t>
            </w:r>
          </w:p>
          <w:p w14:paraId="3B7B4800" w14:textId="47B564C9" w:rsidR="00DD2A1D" w:rsidRPr="004018E3" w:rsidRDefault="00DD2A1D" w:rsidP="004018E3">
            <w:pPr>
              <w:pStyle w:val="ListBullet"/>
              <w:cnfStyle w:val="000000100000" w:firstRow="0" w:lastRow="0" w:firstColumn="0" w:lastColumn="0" w:oddVBand="0" w:evenVBand="0" w:oddHBand="1" w:evenHBand="0" w:firstRowFirstColumn="0" w:firstRowLastColumn="0" w:lastRowFirstColumn="0" w:lastRowLastColumn="0"/>
            </w:pPr>
            <w:r w:rsidRPr="004018E3">
              <w:t xml:space="preserve">identifying impact informs prioritisation of restoration efforts by energy </w:t>
            </w:r>
            <w:r w:rsidR="00BC1D28" w:rsidRPr="004018E3">
              <w:t>i</w:t>
            </w:r>
            <w:r w:rsidRPr="004018E3">
              <w:t>ndustry</w:t>
            </w:r>
          </w:p>
          <w:p w14:paraId="0385EF8F" w14:textId="77777777" w:rsidR="00DD2A1D" w:rsidRPr="004018E3" w:rsidRDefault="00DD2A1D" w:rsidP="004018E3">
            <w:pPr>
              <w:pStyle w:val="ListBullet"/>
              <w:cnfStyle w:val="000000100000" w:firstRow="0" w:lastRow="0" w:firstColumn="0" w:lastColumn="0" w:oddVBand="0" w:evenVBand="0" w:oddHBand="1" w:evenHBand="0" w:firstRowFirstColumn="0" w:firstRowLastColumn="0" w:lastRowFirstColumn="0" w:lastRowLastColumn="0"/>
              <w:rPr>
                <w:b/>
              </w:rPr>
            </w:pPr>
            <w:r w:rsidRPr="004018E3">
              <w:t>providing accurate and reliable information about energy supply disruption duration and location enables planning around business continuity plan implementation, and targeted relief activities.</w:t>
            </w:r>
          </w:p>
        </w:tc>
      </w:tr>
      <w:tr w:rsidR="004018E3" w:rsidRPr="004018E3" w14:paraId="688C0A30" w14:textId="77777777" w:rsidTr="003B40FE">
        <w:trPr>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00B3CC5D" w14:textId="77777777" w:rsidR="00DD2A1D" w:rsidRPr="003B40FE" w:rsidRDefault="00DD2A1D" w:rsidP="00DD2A1D">
            <w:pPr>
              <w:spacing w:before="40" w:after="40"/>
              <w:rPr>
                <w:sz w:val="16"/>
                <w:szCs w:val="16"/>
              </w:rPr>
            </w:pPr>
            <w:r w:rsidRPr="003B40FE">
              <w:rPr>
                <w:sz w:val="16"/>
                <w:szCs w:val="16"/>
              </w:rPr>
              <w:t>Protection of residential property as a place of primary residence. </w:t>
            </w:r>
          </w:p>
        </w:tc>
        <w:tc>
          <w:tcPr>
            <w:tcW w:w="5745" w:type="dxa"/>
            <w:shd w:val="clear" w:color="auto" w:fill="auto"/>
            <w:vAlign w:val="center"/>
            <w:hideMark/>
          </w:tcPr>
          <w:p w14:paraId="0CB3CB54" w14:textId="77777777" w:rsidR="00DD2A1D" w:rsidRPr="004018E3" w:rsidRDefault="00DD2A1D" w:rsidP="00DD2A1D">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018E3">
              <w:rPr>
                <w:sz w:val="16"/>
                <w:szCs w:val="16"/>
              </w:rPr>
              <w:t xml:space="preserve">All Victorians including the emergency management sector, households, business, </w:t>
            </w:r>
            <w:proofErr w:type="gramStart"/>
            <w:r w:rsidRPr="004018E3">
              <w:rPr>
                <w:sz w:val="16"/>
                <w:szCs w:val="16"/>
              </w:rPr>
              <w:t>government</w:t>
            </w:r>
            <w:proofErr w:type="gramEnd"/>
            <w:r w:rsidRPr="004018E3">
              <w:rPr>
                <w:sz w:val="16"/>
                <w:szCs w:val="16"/>
              </w:rPr>
              <w:t xml:space="preserve"> and industry have a shared responsibility to prepare for a disruption to electricity, gas or liquid fuel supplies to reduce the likelihood of impacts from these emergencies.</w:t>
            </w:r>
          </w:p>
        </w:tc>
      </w:tr>
      <w:tr w:rsidR="004018E3" w:rsidRPr="004018E3" w14:paraId="5416BDB7" w14:textId="77777777" w:rsidTr="003B40FE">
        <w:trPr>
          <w:cnfStyle w:val="000000100000" w:firstRow="0" w:lastRow="0" w:firstColumn="0" w:lastColumn="0" w:oddVBand="0" w:evenVBand="0" w:oddHBand="1" w:evenHBand="0" w:firstRowFirstColumn="0" w:firstRowLastColumn="0" w:lastRowFirstColumn="0" w:lastRowLastColumn="0"/>
          <w:trHeight w:val="1170"/>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5F6FD360" w14:textId="77777777" w:rsidR="00DD2A1D" w:rsidRPr="003B40FE" w:rsidRDefault="00DD2A1D" w:rsidP="00DD2A1D">
            <w:pPr>
              <w:spacing w:before="40" w:after="40"/>
              <w:rPr>
                <w:sz w:val="16"/>
                <w:szCs w:val="16"/>
              </w:rPr>
            </w:pPr>
            <w:r w:rsidRPr="003B40FE">
              <w:rPr>
                <w:sz w:val="16"/>
                <w:szCs w:val="16"/>
              </w:rPr>
              <w:t>Protection of assets supporting individual livelihoods and economic production that supports individual and community financial sustainability. </w:t>
            </w:r>
          </w:p>
        </w:tc>
        <w:tc>
          <w:tcPr>
            <w:tcW w:w="5745" w:type="dxa"/>
            <w:shd w:val="clear" w:color="auto" w:fill="auto"/>
            <w:vAlign w:val="center"/>
            <w:hideMark/>
          </w:tcPr>
          <w:p w14:paraId="600CFCAA" w14:textId="77777777" w:rsidR="00DD2A1D" w:rsidRPr="004018E3" w:rsidRDefault="00DD2A1D" w:rsidP="00DD2A1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 xml:space="preserve">Services, </w:t>
            </w:r>
            <w:proofErr w:type="gramStart"/>
            <w:r w:rsidRPr="004018E3">
              <w:rPr>
                <w:sz w:val="16"/>
                <w:szCs w:val="16"/>
              </w:rPr>
              <w:t>business</w:t>
            </w:r>
            <w:proofErr w:type="gramEnd"/>
            <w:r w:rsidRPr="004018E3">
              <w:rPr>
                <w:sz w:val="16"/>
                <w:szCs w:val="16"/>
              </w:rPr>
              <w:t xml:space="preserve"> and industry that depend upon power, gas and liquid fuel must ensure they prepare, test and update their business continuity plans to reduce the disruption that may be caused by an energy emergency. </w:t>
            </w:r>
          </w:p>
          <w:p w14:paraId="6D45EA16" w14:textId="77777777" w:rsidR="00DD2A1D" w:rsidRPr="004018E3" w:rsidRDefault="00DD2A1D" w:rsidP="00DD2A1D">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018E3">
              <w:rPr>
                <w:sz w:val="16"/>
                <w:szCs w:val="16"/>
              </w:rPr>
              <w:t xml:space="preserve">Timely and effective two-way information sharing supports the ongoing operation of businesses and assets that support livelihoods: </w:t>
            </w:r>
          </w:p>
          <w:p w14:paraId="2E323026" w14:textId="77777777" w:rsidR="00DD2A1D" w:rsidRPr="004018E3" w:rsidRDefault="00DD2A1D" w:rsidP="004018E3">
            <w:pPr>
              <w:pStyle w:val="ListBullet"/>
              <w:cnfStyle w:val="000000100000" w:firstRow="0" w:lastRow="0" w:firstColumn="0" w:lastColumn="0" w:oddVBand="0" w:evenVBand="0" w:oddHBand="1" w:evenHBand="0" w:firstRowFirstColumn="0" w:firstRowLastColumn="0" w:lastRowFirstColumn="0" w:lastRowLastColumn="0"/>
            </w:pPr>
            <w:r w:rsidRPr="004018E3">
              <w:t>identifying business impact informs prioritisation of restoration efforts by energy industry</w:t>
            </w:r>
          </w:p>
          <w:p w14:paraId="566DF9D8" w14:textId="77777777" w:rsidR="00DD2A1D" w:rsidRPr="004018E3" w:rsidRDefault="00DD2A1D" w:rsidP="004018E3">
            <w:pPr>
              <w:pStyle w:val="ListBullet"/>
              <w:cnfStyle w:val="000000100000" w:firstRow="0" w:lastRow="0" w:firstColumn="0" w:lastColumn="0" w:oddVBand="0" w:evenVBand="0" w:oddHBand="1" w:evenHBand="0" w:firstRowFirstColumn="0" w:firstRowLastColumn="0" w:lastRowFirstColumn="0" w:lastRowLastColumn="0"/>
              <w:rPr>
                <w:b/>
                <w:szCs w:val="16"/>
              </w:rPr>
            </w:pPr>
            <w:r w:rsidRPr="004018E3">
              <w:t>providing accurate</w:t>
            </w:r>
            <w:r w:rsidRPr="004018E3">
              <w:rPr>
                <w:szCs w:val="16"/>
              </w:rPr>
              <w:t xml:space="preserve"> and reliable information about energy supply disruption duration and location enables planning around business continuity plan implementation, and targeted relief activities.</w:t>
            </w:r>
          </w:p>
        </w:tc>
      </w:tr>
      <w:tr w:rsidR="004018E3" w:rsidRPr="004018E3" w14:paraId="1069F28D" w14:textId="77777777" w:rsidTr="003B40FE">
        <w:trPr>
          <w:trHeight w:val="795"/>
          <w:tblCellSpacing w:w="28" w:type="dxa"/>
        </w:trPr>
        <w:tc>
          <w:tcPr>
            <w:cnfStyle w:val="001000000000" w:firstRow="0" w:lastRow="0" w:firstColumn="1" w:lastColumn="0" w:oddVBand="0" w:evenVBand="0" w:oddHBand="0" w:evenHBand="0" w:firstRowFirstColumn="0" w:firstRowLastColumn="0" w:lastRowFirstColumn="0" w:lastRowLastColumn="0"/>
            <w:tcW w:w="3606" w:type="dxa"/>
            <w:shd w:val="clear" w:color="auto" w:fill="363534" w:themeFill="text1"/>
            <w:vAlign w:val="center"/>
            <w:hideMark/>
          </w:tcPr>
          <w:p w14:paraId="0779050D" w14:textId="77777777" w:rsidR="00DD2A1D" w:rsidRPr="003B40FE" w:rsidRDefault="00DD2A1D" w:rsidP="00DD2A1D">
            <w:pPr>
              <w:spacing w:before="40" w:after="40"/>
              <w:rPr>
                <w:sz w:val="16"/>
                <w:szCs w:val="16"/>
              </w:rPr>
            </w:pPr>
            <w:r w:rsidRPr="003B40FE">
              <w:rPr>
                <w:sz w:val="16"/>
                <w:szCs w:val="16"/>
              </w:rPr>
              <w:t>Protection of environmental and conservation assets that considers the cultural, biodiversity, and social values of the environment. </w:t>
            </w:r>
          </w:p>
        </w:tc>
        <w:tc>
          <w:tcPr>
            <w:tcW w:w="5745" w:type="dxa"/>
            <w:shd w:val="clear" w:color="auto" w:fill="auto"/>
            <w:vAlign w:val="center"/>
            <w:hideMark/>
          </w:tcPr>
          <w:p w14:paraId="48C388F5" w14:textId="77777777" w:rsidR="00DD2A1D" w:rsidRPr="004018E3" w:rsidRDefault="00DD2A1D" w:rsidP="00DD2A1D">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018E3">
              <w:rPr>
                <w:sz w:val="16"/>
                <w:szCs w:val="16"/>
              </w:rPr>
              <w:t>Energy emergencies may influence and impact the natural environment. Use of hazardous materials effect cultural, biodiversity and social values of the environment. </w:t>
            </w:r>
          </w:p>
        </w:tc>
      </w:tr>
    </w:tbl>
    <w:p w14:paraId="4B8AD301" w14:textId="77777777" w:rsidR="00DD2A1D" w:rsidRPr="003907AC" w:rsidRDefault="00DD2A1D" w:rsidP="00DD2A1D">
      <w:bookmarkStart w:id="1376" w:name="_Toc73015640"/>
      <w:bookmarkStart w:id="1377" w:name="_Toc73015642"/>
      <w:bookmarkStart w:id="1378" w:name="_Toc73015648"/>
      <w:bookmarkStart w:id="1379" w:name="_Toc73541423"/>
      <w:bookmarkEnd w:id="1376"/>
      <w:bookmarkEnd w:id="1377"/>
    </w:p>
    <w:p w14:paraId="27CDA7A7" w14:textId="77777777" w:rsidR="00DD2A1D" w:rsidRPr="003907AC" w:rsidRDefault="00DD2A1D" w:rsidP="00DD2A1D">
      <w:pPr>
        <w:pStyle w:val="Heading2"/>
      </w:pPr>
      <w:bookmarkStart w:id="1380" w:name="_Toc90319419"/>
      <w:bookmarkStart w:id="1381" w:name="_Toc478995756"/>
      <w:bookmarkStart w:id="1382" w:name="_Toc1933141992"/>
      <w:bookmarkStart w:id="1383" w:name="_Toc1983802727"/>
      <w:bookmarkStart w:id="1384" w:name="_Toc679191505"/>
      <w:bookmarkStart w:id="1385" w:name="_Toc1719403635"/>
      <w:bookmarkStart w:id="1386" w:name="_Toc1076263488"/>
      <w:bookmarkStart w:id="1387" w:name="_Toc36766679"/>
      <w:bookmarkStart w:id="1388" w:name="_Toc198096946"/>
      <w:bookmarkStart w:id="1389" w:name="_Toc1443780335"/>
      <w:bookmarkStart w:id="1390" w:name="_Toc1491594089"/>
      <w:bookmarkStart w:id="1391" w:name="_Toc1544595740"/>
      <w:bookmarkStart w:id="1392" w:name="_Toc1772761946"/>
      <w:bookmarkStart w:id="1393" w:name="_Toc477122119"/>
      <w:bookmarkStart w:id="1394" w:name="_Toc1090787500"/>
      <w:bookmarkStart w:id="1395" w:name="_Toc44628247"/>
      <w:bookmarkStart w:id="1396" w:name="_Toc1661032243"/>
      <w:bookmarkStart w:id="1397" w:name="_Toc1719576045"/>
      <w:bookmarkStart w:id="1398" w:name="_Toc678038429"/>
      <w:bookmarkStart w:id="1399" w:name="_Toc2127534735"/>
      <w:bookmarkStart w:id="1400" w:name="_Toc1727838590"/>
      <w:bookmarkStart w:id="1401" w:name="_Toc298748805"/>
      <w:bookmarkStart w:id="1402" w:name="_Toc1544210639"/>
      <w:bookmarkStart w:id="1403" w:name="_Toc1491176523"/>
      <w:bookmarkStart w:id="1404" w:name="_Toc1888950072"/>
      <w:bookmarkStart w:id="1405" w:name="_Toc1213889223"/>
      <w:bookmarkStart w:id="1406" w:name="_Toc1596237978"/>
      <w:bookmarkStart w:id="1407" w:name="_Toc2008107114"/>
      <w:bookmarkStart w:id="1408" w:name="_Toc840306859"/>
      <w:bookmarkStart w:id="1409" w:name="_Toc1545679341"/>
      <w:bookmarkStart w:id="1410" w:name="_Toc1298824475"/>
      <w:bookmarkStart w:id="1411" w:name="_Toc119376613"/>
      <w:bookmarkStart w:id="1412" w:name="_Toc1084704856"/>
      <w:bookmarkStart w:id="1413" w:name="_Toc787134867"/>
      <w:bookmarkStart w:id="1414" w:name="_Toc708066310"/>
      <w:bookmarkStart w:id="1415" w:name="_Toc1626745077"/>
      <w:bookmarkStart w:id="1416" w:name="_Toc854675219"/>
      <w:bookmarkStart w:id="1417" w:name="_Toc1053382023"/>
      <w:bookmarkStart w:id="1418" w:name="_Toc1475484744"/>
      <w:bookmarkStart w:id="1419" w:name="_Toc939160518"/>
      <w:bookmarkStart w:id="1420" w:name="_Toc454457776"/>
      <w:bookmarkStart w:id="1421" w:name="_Toc2128055582"/>
      <w:bookmarkStart w:id="1422" w:name="_Toc2034123094"/>
      <w:bookmarkStart w:id="1423" w:name="_Toc1511096189"/>
      <w:bookmarkStart w:id="1424" w:name="_Toc106596288"/>
      <w:bookmarkStart w:id="1425" w:name="_Toc2047494973"/>
      <w:bookmarkStart w:id="1426" w:name="_Ref92436620"/>
      <w:bookmarkStart w:id="1427" w:name="_Ref92436822"/>
      <w:bookmarkStart w:id="1428" w:name="_Ref92436838"/>
      <w:bookmarkStart w:id="1429" w:name="_Toc94013196"/>
      <w:bookmarkStart w:id="1430" w:name="_Toc82274506"/>
      <w:bookmarkStart w:id="1431" w:name="_Toc82350799"/>
      <w:bookmarkEnd w:id="1176"/>
      <w:bookmarkEnd w:id="1177"/>
      <w:bookmarkEnd w:id="1378"/>
      <w:bookmarkEnd w:id="1379"/>
      <w:r>
        <w:t>Consequence management</w:t>
      </w:r>
      <w:bookmarkStart w:id="1432" w:name="_Toc516673182"/>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17A586CA" w14:textId="77777777" w:rsidR="00DD2A1D" w:rsidRPr="003907AC" w:rsidRDefault="00DD2A1D" w:rsidP="00AE615C">
      <w:pPr>
        <w:pStyle w:val="BodyText"/>
      </w:pPr>
      <w:r w:rsidRPr="367F2C92">
        <w:rPr>
          <w:b/>
          <w:bCs/>
        </w:rPr>
        <w:t>Consequence management</w:t>
      </w:r>
      <w:r w:rsidRPr="367F2C92">
        <w:t xml:space="preserve"> is the coordination of agencies responsible for managing or regulating services or infrastructure which are or may be affected by a major emergency.  Consequence management supports strategic decision-making before, during and after a major emergency, with its importance to support long-term decision-making following a major emergency, including recovery activities.</w:t>
      </w:r>
    </w:p>
    <w:p w14:paraId="181ABB07" w14:textId="6EA76C7E" w:rsidR="00DD2A1D" w:rsidRPr="00AF7D3F" w:rsidRDefault="00DD2A1D" w:rsidP="00AF7D3F">
      <w:pPr>
        <w:pStyle w:val="BodyText"/>
        <w:rPr>
          <w:rFonts w:eastAsia="Arial"/>
        </w:rPr>
      </w:pPr>
      <w:r w:rsidRPr="32CC0482">
        <w:rPr>
          <w:rFonts w:eastAsia="Arial"/>
        </w:rPr>
        <w:t xml:space="preserve">The </w:t>
      </w:r>
      <w:r w:rsidR="00AA55C0">
        <w:rPr>
          <w:rFonts w:eastAsia="Arial"/>
        </w:rPr>
        <w:t>Emergency Management Commissioner (</w:t>
      </w:r>
      <w:r>
        <w:rPr>
          <w:rFonts w:eastAsia="Arial"/>
        </w:rPr>
        <w:t>EMC</w:t>
      </w:r>
      <w:r w:rsidR="00AA55C0">
        <w:rPr>
          <w:rFonts w:eastAsia="Arial"/>
        </w:rPr>
        <w:t>)</w:t>
      </w:r>
      <w:r w:rsidRPr="32CC0482">
        <w:rPr>
          <w:rFonts w:eastAsia="Arial"/>
        </w:rPr>
        <w:t xml:space="preserve"> is responsible for the management of consequences from major emergencies.  The EMC fulfils this role through the appointment of the State Consequence Manager (SCM). </w:t>
      </w:r>
      <w:r w:rsidR="1E2BD65B" w:rsidRPr="32CC0482">
        <w:rPr>
          <w:rFonts w:eastAsia="Arial"/>
        </w:rPr>
        <w:t xml:space="preserve">This role is responsible for providing strategic and management advice about actual, </w:t>
      </w:r>
      <w:proofErr w:type="gramStart"/>
      <w:r w:rsidR="1E2BD65B" w:rsidRPr="32CC0482">
        <w:rPr>
          <w:rFonts w:eastAsia="Arial"/>
        </w:rPr>
        <w:t>emergent</w:t>
      </w:r>
      <w:proofErr w:type="gramEnd"/>
      <w:r w:rsidR="1E2BD65B" w:rsidRPr="32CC0482">
        <w:rPr>
          <w:rFonts w:eastAsia="Arial"/>
        </w:rPr>
        <w:t xml:space="preserve"> and cascading consequences before, during and after a major emergency and working with the </w:t>
      </w:r>
      <w:r w:rsidR="00AF7D3F">
        <w:rPr>
          <w:rFonts w:eastAsia="Arial"/>
        </w:rPr>
        <w:t>State Emergency Management Team (</w:t>
      </w:r>
      <w:r w:rsidR="1E2BD65B" w:rsidRPr="32CC0482">
        <w:rPr>
          <w:rFonts w:eastAsia="Arial"/>
        </w:rPr>
        <w:t>SEMT</w:t>
      </w:r>
      <w:r w:rsidR="00AF7D3F">
        <w:rPr>
          <w:rFonts w:eastAsia="Arial"/>
        </w:rPr>
        <w:t>)</w:t>
      </w:r>
      <w:r w:rsidR="1E2BD65B" w:rsidRPr="32CC0482">
        <w:rPr>
          <w:rFonts w:eastAsia="Arial"/>
        </w:rPr>
        <w:t xml:space="preserve"> and Regional Emergency Management Team (REMT), if activated to ensure a whole-of-government approach to the management of these consequences.</w:t>
      </w:r>
    </w:p>
    <w:p w14:paraId="40A91E35" w14:textId="36ACDB20" w:rsidR="1E2BD65B" w:rsidRPr="00632D3C" w:rsidRDefault="1E2BD65B" w:rsidP="00AA55C0">
      <w:pPr>
        <w:pStyle w:val="BodyText"/>
      </w:pPr>
      <w:r w:rsidRPr="00632D3C">
        <w:rPr>
          <w:rFonts w:eastAsia="Arial"/>
        </w:rPr>
        <w:t xml:space="preserve">For a Class 2 energy emergency the Secretary, or State Controller – Energy, will support the EMC in managing the consequences of potential or actual impacts of the supply of electricity, </w:t>
      </w:r>
      <w:proofErr w:type="gramStart"/>
      <w:r w:rsidRPr="00632D3C">
        <w:rPr>
          <w:rFonts w:eastAsia="Arial"/>
        </w:rPr>
        <w:t>gas</w:t>
      </w:r>
      <w:proofErr w:type="gramEnd"/>
      <w:r w:rsidRPr="00632D3C">
        <w:rPr>
          <w:rFonts w:eastAsia="Arial"/>
        </w:rPr>
        <w:t xml:space="preserve"> and liquid fuels. To achieve this, DELWP works with industry and response support agencies to:</w:t>
      </w:r>
    </w:p>
    <w:p w14:paraId="17C274EB" w14:textId="5F9A1C1F" w:rsidR="1E2BD65B" w:rsidRPr="00632D3C" w:rsidRDefault="1E2BD65B" w:rsidP="0075092B">
      <w:pPr>
        <w:pStyle w:val="ListParagraph"/>
        <w:rPr>
          <w:rFonts w:eastAsiaTheme="minorEastAsia" w:cstheme="minorBidi"/>
        </w:rPr>
      </w:pPr>
      <w:r w:rsidRPr="00632D3C">
        <w:t>coordinate identification of consequence, including on critical infrastructure sectors</w:t>
      </w:r>
    </w:p>
    <w:p w14:paraId="6AB7E217" w14:textId="2CFFB99A" w:rsidR="1E2BD65B" w:rsidRPr="00632D3C" w:rsidRDefault="1E2BD65B">
      <w:pPr>
        <w:pStyle w:val="ListParagraph"/>
        <w:rPr>
          <w:rFonts w:eastAsiaTheme="minorEastAsia" w:cstheme="minorBidi"/>
        </w:rPr>
      </w:pPr>
      <w:r w:rsidRPr="00632D3C">
        <w:t xml:space="preserve">support the State Consequence Manager and state consequence management planning </w:t>
      </w:r>
    </w:p>
    <w:p w14:paraId="7DCE9B65" w14:textId="1C5D51F6" w:rsidR="1E2BD65B" w:rsidRPr="00632D3C" w:rsidRDefault="1E2BD65B">
      <w:pPr>
        <w:pStyle w:val="ListParagraph"/>
        <w:rPr>
          <w:rFonts w:eastAsiaTheme="minorEastAsia" w:cstheme="minorBidi"/>
        </w:rPr>
      </w:pPr>
      <w:r w:rsidRPr="00632D3C">
        <w:t>coordinate communication to affected communities and stakeholders about consequences and consequence management.</w:t>
      </w:r>
    </w:p>
    <w:p w14:paraId="44C5FE36" w14:textId="641BB10D" w:rsidR="00DD2A1D" w:rsidRPr="007D7398" w:rsidRDefault="00DD2A1D" w:rsidP="00DD2A1D">
      <w:pPr>
        <w:pStyle w:val="Heading3"/>
        <w:rPr>
          <w:rFonts w:eastAsia="Arial"/>
        </w:rPr>
      </w:pPr>
      <w:bookmarkStart w:id="1433" w:name="_Toc94013197"/>
      <w:r w:rsidRPr="007D7398">
        <w:rPr>
          <w:rFonts w:eastAsia="Arial"/>
        </w:rPr>
        <w:t>Critical infrastructure</w:t>
      </w:r>
      <w:r w:rsidR="00BA60A3">
        <w:rPr>
          <w:rFonts w:eastAsia="Arial"/>
        </w:rPr>
        <w:t>,</w:t>
      </w:r>
      <w:r w:rsidRPr="007D7398">
        <w:rPr>
          <w:rFonts w:eastAsia="Arial"/>
        </w:rPr>
        <w:t xml:space="preserve"> </w:t>
      </w:r>
      <w:r w:rsidRPr="0069185F">
        <w:rPr>
          <w:rFonts w:eastAsia="Arial"/>
        </w:rPr>
        <w:t>community assets </w:t>
      </w:r>
      <w:r w:rsidR="00BA60A3">
        <w:rPr>
          <w:rFonts w:eastAsia="Arial"/>
        </w:rPr>
        <w:t>and essential services</w:t>
      </w:r>
      <w:bookmarkEnd w:id="1433"/>
      <w:r w:rsidRPr="007D7398">
        <w:rPr>
          <w:rFonts w:eastAsia="Arial"/>
        </w:rPr>
        <w:t xml:space="preserve"> </w:t>
      </w:r>
    </w:p>
    <w:p w14:paraId="7AB62EE9" w14:textId="77777777" w:rsidR="00DD2A1D" w:rsidRPr="007D7398" w:rsidRDefault="00DD2A1D" w:rsidP="00AE615C">
      <w:pPr>
        <w:pStyle w:val="BodyText"/>
        <w:rPr>
          <w:rFonts w:eastAsia="Arial"/>
        </w:rPr>
      </w:pPr>
      <w:r w:rsidRPr="007D7398">
        <w:rPr>
          <w:rFonts w:eastAsia="Arial"/>
        </w:rPr>
        <w:t>All critical infrastructure, community assets and essential services rely on energy supply for ongoing delivery of their services to community. Interruption to energy supply can cause cascading incidents and emergencies, across multiple sectors simultaneously. These interdependencies between essential service sectors are a risk multiplier.</w:t>
      </w:r>
    </w:p>
    <w:p w14:paraId="3A32A3EB" w14:textId="77777777" w:rsidR="00DD2A1D" w:rsidRPr="007D7398" w:rsidRDefault="00DD2A1D" w:rsidP="00AE615C">
      <w:pPr>
        <w:pStyle w:val="BodyText"/>
        <w:rPr>
          <w:rFonts w:eastAsia="Arial"/>
        </w:rPr>
      </w:pPr>
      <w:r w:rsidRPr="007D7398">
        <w:rPr>
          <w:rFonts w:eastAsia="Arial"/>
        </w:rPr>
        <w:t xml:space="preserve">In the event of an energy disruption, the owners/operators of critical infrastructure, community assets and essential services implement their continuity and contingency plans. These sectors rely on timely and reliable information about the extent and expected duration of energy disruption to inform implementation of these plans. </w:t>
      </w:r>
    </w:p>
    <w:p w14:paraId="43C75134" w14:textId="77777777" w:rsidR="00DD2A1D" w:rsidRPr="007D7398" w:rsidRDefault="00DD2A1D" w:rsidP="00AE615C">
      <w:pPr>
        <w:pStyle w:val="BodyText"/>
        <w:rPr>
          <w:rFonts w:eastAsia="Arial"/>
        </w:rPr>
      </w:pPr>
      <w:r w:rsidRPr="007D7398">
        <w:rPr>
          <w:rFonts w:eastAsia="Arial"/>
        </w:rPr>
        <w:t>During a Class 2 energy emergency:</w:t>
      </w:r>
    </w:p>
    <w:p w14:paraId="508301C5" w14:textId="77777777" w:rsidR="00DD2A1D" w:rsidRDefault="00DD2A1D" w:rsidP="0075092B">
      <w:pPr>
        <w:pStyle w:val="ListParagraph"/>
      </w:pPr>
      <w:r w:rsidRPr="00D942AC">
        <w:t>relevant support agencies for response (as defined in the SEMP Roles and Responsibilities) will liaise between the owners/operators of critical infrastructure, community assets and essential services and DELWP, as the Control Agency</w:t>
      </w:r>
    </w:p>
    <w:p w14:paraId="4CE7C027" w14:textId="77777777" w:rsidR="00DD2A1D" w:rsidRDefault="00DD2A1D">
      <w:pPr>
        <w:pStyle w:val="ListParagraph"/>
      </w:pPr>
      <w:r w:rsidRPr="00D942AC">
        <w:t>DELWP regularly seeks advice from relevant support agencies for response about impact on critical infrastructure, community assets and essential services.</w:t>
      </w:r>
      <w:r>
        <w:t xml:space="preserve"> </w:t>
      </w:r>
      <w:r w:rsidRPr="00D942AC">
        <w:t>DELWP shares this information with relevant energy sector entities, and provides advice to the energy sector about the application of the State Emergency Management Priorities to inform prioritisation of restoration of supply, within network, market, or system constraints</w:t>
      </w:r>
      <w:r>
        <w:t>, and</w:t>
      </w:r>
    </w:p>
    <w:p w14:paraId="71C36CFC" w14:textId="77777777" w:rsidR="00DD2A1D" w:rsidRPr="00D942AC" w:rsidRDefault="00DD2A1D">
      <w:pPr>
        <w:pStyle w:val="ListParagraph"/>
      </w:pPr>
      <w:r w:rsidRPr="00D942AC">
        <w:t>DELWP works with the energy sector to share intelligence with relevant support agencies for response the about disruption risks, estimated time to restore, geographic impact, critical infrastructure impact, and restoration prioritisation.</w:t>
      </w:r>
    </w:p>
    <w:p w14:paraId="209B08F8" w14:textId="77777777" w:rsidR="003C47B0" w:rsidRDefault="003C47B0">
      <w:pPr>
        <w:rPr>
          <w:b/>
          <w:bCs/>
          <w:iCs/>
          <w:color w:val="0072CE" w:themeColor="text2"/>
          <w:kern w:val="20"/>
          <w:sz w:val="24"/>
          <w:szCs w:val="28"/>
        </w:rPr>
      </w:pPr>
      <w:bookmarkStart w:id="1434" w:name="_Toc90319420"/>
      <w:bookmarkStart w:id="1435" w:name="_Toc604090695"/>
      <w:bookmarkStart w:id="1436" w:name="_Toc843673608"/>
      <w:bookmarkStart w:id="1437" w:name="_Toc1509751001"/>
      <w:bookmarkStart w:id="1438" w:name="_Toc2088242212"/>
      <w:bookmarkStart w:id="1439" w:name="_Toc649910480"/>
      <w:bookmarkStart w:id="1440" w:name="_Toc70774783"/>
      <w:bookmarkStart w:id="1441" w:name="_Toc333886185"/>
      <w:bookmarkStart w:id="1442" w:name="_Toc1990106423"/>
      <w:bookmarkStart w:id="1443" w:name="_Toc76974277"/>
      <w:bookmarkStart w:id="1444" w:name="_Toc278744127"/>
      <w:bookmarkStart w:id="1445" w:name="_Toc578053659"/>
      <w:bookmarkStart w:id="1446" w:name="_Toc945478952"/>
      <w:bookmarkStart w:id="1447" w:name="_Toc1929240399"/>
      <w:bookmarkStart w:id="1448" w:name="_Toc1381265072"/>
      <w:bookmarkStart w:id="1449" w:name="_Toc336870890"/>
      <w:bookmarkStart w:id="1450" w:name="_Toc1696549775"/>
      <w:bookmarkStart w:id="1451" w:name="_Toc666958305"/>
      <w:bookmarkStart w:id="1452" w:name="_Toc997467904"/>
      <w:bookmarkStart w:id="1453" w:name="_Toc222234861"/>
      <w:bookmarkStart w:id="1454" w:name="_Toc369046615"/>
      <w:bookmarkStart w:id="1455" w:name="_Toc1399249554"/>
      <w:bookmarkStart w:id="1456" w:name="_Toc1830447873"/>
      <w:bookmarkStart w:id="1457" w:name="_Toc1926629267"/>
      <w:bookmarkStart w:id="1458" w:name="_Toc857469164"/>
      <w:bookmarkStart w:id="1459" w:name="_Toc332203887"/>
      <w:bookmarkStart w:id="1460" w:name="_Toc1890411391"/>
      <w:bookmarkStart w:id="1461" w:name="_Toc1367989595"/>
      <w:bookmarkStart w:id="1462" w:name="_Toc660540920"/>
      <w:bookmarkStart w:id="1463" w:name="_Toc1432718693"/>
      <w:bookmarkStart w:id="1464" w:name="_Toc1668379960"/>
      <w:bookmarkStart w:id="1465" w:name="_Toc398366733"/>
      <w:bookmarkStart w:id="1466" w:name="_Toc215584309"/>
      <w:bookmarkStart w:id="1467" w:name="_Toc1234963788"/>
      <w:bookmarkStart w:id="1468" w:name="_Toc1316874986"/>
      <w:bookmarkStart w:id="1469" w:name="_Toc1700184747"/>
      <w:bookmarkStart w:id="1470" w:name="_Toc1484515572"/>
      <w:bookmarkStart w:id="1471" w:name="_Toc878851723"/>
      <w:bookmarkStart w:id="1472" w:name="_Toc474770576"/>
      <w:bookmarkStart w:id="1473" w:name="_Toc823192070"/>
      <w:bookmarkStart w:id="1474" w:name="_Toc850020332"/>
      <w:bookmarkStart w:id="1475" w:name="_Toc598919640"/>
      <w:bookmarkStart w:id="1476" w:name="_Toc1820716752"/>
      <w:bookmarkStart w:id="1477" w:name="_Toc555764939"/>
      <w:bookmarkStart w:id="1478" w:name="_Toc334537311"/>
      <w:bookmarkStart w:id="1479" w:name="_Toc2115040012"/>
      <w:bookmarkEnd w:id="1432"/>
      <w:r>
        <w:br w:type="page"/>
      </w:r>
    </w:p>
    <w:p w14:paraId="7138F110" w14:textId="1574101E" w:rsidR="00DD2A1D" w:rsidRPr="003907AC" w:rsidRDefault="00DD2A1D" w:rsidP="00DD2A1D">
      <w:pPr>
        <w:pStyle w:val="Heading2"/>
      </w:pPr>
      <w:bookmarkStart w:id="1480" w:name="_Toc94013198"/>
      <w:r>
        <w:lastRenderedPageBreak/>
        <w:t>Voluntary appeals, m</w:t>
      </w:r>
      <w:bookmarkStart w:id="1481" w:name="_Toc82350802"/>
      <w:bookmarkStart w:id="1482" w:name="_Toc82274521"/>
      <w:bookmarkStart w:id="1483" w:name="_Toc82274524"/>
      <w:bookmarkStart w:id="1484" w:name="_Toc82274480"/>
      <w:bookmarkEnd w:id="909"/>
      <w:bookmarkEnd w:id="1430"/>
      <w:bookmarkEnd w:id="1431"/>
      <w:r>
        <w:t>arket interventions</w:t>
      </w:r>
      <w:bookmarkEnd w:id="1481"/>
      <w:r>
        <w:t xml:space="preserve"> and legislative powers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3084D3D9" w14:textId="77777777" w:rsidR="00DD2A1D" w:rsidRPr="003907AC" w:rsidRDefault="00DD2A1D" w:rsidP="00AE615C">
      <w:pPr>
        <w:pStyle w:val="BodyText"/>
      </w:pPr>
      <w:r w:rsidRPr="003907AC">
        <w:t xml:space="preserve">There are a range of interventions and powers that can be exercised in response to an incident involving energy infrastructure or supply security. </w:t>
      </w:r>
    </w:p>
    <w:p w14:paraId="72BFE7FF" w14:textId="77777777" w:rsidR="00DD2A1D" w:rsidRPr="003907AC" w:rsidRDefault="00DD2A1D" w:rsidP="00AE615C">
      <w:pPr>
        <w:pStyle w:val="BodyText"/>
      </w:pPr>
      <w:r>
        <w:t xml:space="preserve">Powers can be variously exercised by the Minister for Energy, Environment and Climate Change, Energy Safe Victoria, DELWP, AEMO and the </w:t>
      </w:r>
      <w:bookmarkStart w:id="1485" w:name="_Int_9CvBU1iN"/>
      <w:proofErr w:type="gramStart"/>
      <w:r>
        <w:t>Commonwealth Minister</w:t>
      </w:r>
      <w:bookmarkEnd w:id="1485"/>
      <w:proofErr w:type="gramEnd"/>
      <w:r>
        <w:t xml:space="preserve"> for Environment and Energy (in relation to liquid fuels).</w:t>
      </w:r>
    </w:p>
    <w:p w14:paraId="47341C5F" w14:textId="77777777" w:rsidR="00DD2A1D" w:rsidRDefault="00DD2A1D" w:rsidP="00AE615C">
      <w:pPr>
        <w:pStyle w:val="BodyText"/>
      </w:pPr>
      <w:r w:rsidRPr="003907AC">
        <w:t>These powers generally allow for market interventions, preparedness arrangements and voluntary measures to ensure the safe and reliable supply of energy.</w:t>
      </w:r>
    </w:p>
    <w:p w14:paraId="3531305E" w14:textId="77777777" w:rsidR="00DD2A1D" w:rsidRPr="003907AC" w:rsidRDefault="00DD2A1D" w:rsidP="00AE615C">
      <w:pPr>
        <w:pStyle w:val="BodyText"/>
      </w:pPr>
      <w:r>
        <w:t xml:space="preserve">Consideration and implementation of these interventions occurs within the </w:t>
      </w:r>
      <w:r w:rsidRPr="00851832">
        <w:t>established multi-jurisdictional and joint government-industry emergency management arrangements</w:t>
      </w:r>
      <w:r>
        <w:t>.</w:t>
      </w:r>
    </w:p>
    <w:p w14:paraId="3B196768" w14:textId="77777777" w:rsidR="00DD2A1D" w:rsidRPr="003907AC" w:rsidRDefault="00DD2A1D" w:rsidP="00DD2A1D">
      <w:pPr>
        <w:pStyle w:val="Heading3"/>
      </w:pPr>
      <w:bookmarkStart w:id="1486" w:name="_Toc82350803"/>
      <w:bookmarkStart w:id="1487" w:name="_Toc94013199"/>
      <w:r w:rsidRPr="003907AC">
        <w:t>Electricity</w:t>
      </w:r>
      <w:bookmarkEnd w:id="1486"/>
      <w:bookmarkEnd w:id="1487"/>
      <w:r w:rsidRPr="003907AC">
        <w:t xml:space="preserve"> </w:t>
      </w:r>
      <w:bookmarkEnd w:id="1482"/>
    </w:p>
    <w:p w14:paraId="58A0D1C7" w14:textId="77777777" w:rsidR="00DD2A1D" w:rsidRPr="003907AC" w:rsidRDefault="00DD2A1D" w:rsidP="00AE615C">
      <w:pPr>
        <w:pStyle w:val="BodyText"/>
      </w:pPr>
      <w:r w:rsidRPr="003907AC">
        <w:rPr>
          <w:rFonts w:eastAsia="Arial"/>
        </w:rPr>
        <w:t xml:space="preserve">Where a Class 2 energy emergency is likely to result in a demand exceeding supply (electricity) DELWP provides support to make public appeals for voluntary demand reduction based on advice from AEMO. </w:t>
      </w:r>
    </w:p>
    <w:p w14:paraId="2C9CA6B2" w14:textId="4DC4C35E" w:rsidR="00DD2A1D" w:rsidRPr="003907AC" w:rsidRDefault="00DD2A1D" w:rsidP="00AE615C">
      <w:pPr>
        <w:pStyle w:val="BodyText"/>
      </w:pPr>
      <w:r w:rsidRPr="003907AC">
        <w:rPr>
          <w:rFonts w:eastAsia="Arial"/>
        </w:rPr>
        <w:t xml:space="preserve">AEMO has a range of powers to intervene in the electricity market including market notices, use of </w:t>
      </w:r>
      <w:r w:rsidR="003C6095">
        <w:rPr>
          <w:rFonts w:eastAsia="Arial"/>
        </w:rPr>
        <w:t xml:space="preserve">the </w:t>
      </w:r>
      <w:r w:rsidRPr="003907AC">
        <w:rPr>
          <w:rFonts w:eastAsia="Arial"/>
        </w:rPr>
        <w:t>Reliability and Emergency Reserve Trader (RERT), and load shedding. AEMO may also declare the spot market to be suspended in a region under clause 3.14.3 of the National Electricity Rules.</w:t>
      </w:r>
    </w:p>
    <w:p w14:paraId="10B3C79E" w14:textId="77777777" w:rsidR="00DD2A1D" w:rsidRPr="003907AC" w:rsidRDefault="00DD2A1D" w:rsidP="00AE615C">
      <w:pPr>
        <w:pStyle w:val="BodyText"/>
      </w:pPr>
      <w:r w:rsidRPr="003907AC">
        <w:rPr>
          <w:rFonts w:eastAsia="Arial"/>
        </w:rPr>
        <w:t>To mitigate the risks of major electricity emergencies due to supply demand imbalance, AEMO forecasts demand and supply and signals to the market, through Lack of Reserve (LOR) notices, when a response is required to increase generation capacity or demand response is required.</w:t>
      </w:r>
    </w:p>
    <w:p w14:paraId="5BFDC0C7" w14:textId="77777777" w:rsidR="00DD2A1D" w:rsidRPr="003907AC" w:rsidRDefault="00DD2A1D" w:rsidP="00AE615C">
      <w:pPr>
        <w:pStyle w:val="BodyText"/>
      </w:pPr>
      <w:r w:rsidRPr="003907AC">
        <w:rPr>
          <w:rFonts w:eastAsia="Arial"/>
        </w:rPr>
        <w:t>An appeal for voluntary load reduction will be made by the Minister for Energy, Environment and Climate Change, or a government spokesperson on their behalf. Reducing electricity consumption during peak demand periods can potentially help to mitigate the need for ‘load shedding’</w:t>
      </w:r>
      <w:r w:rsidRPr="003907AC">
        <w:rPr>
          <w:rStyle w:val="FootnoteReference"/>
          <w:rFonts w:eastAsia="Arial"/>
          <w:szCs w:val="22"/>
        </w:rPr>
        <w:footnoteReference w:id="3"/>
      </w:r>
      <w:r w:rsidRPr="003907AC">
        <w:rPr>
          <w:rFonts w:eastAsia="Arial"/>
        </w:rPr>
        <w:t xml:space="preserve">. </w:t>
      </w:r>
    </w:p>
    <w:p w14:paraId="30D97DF7" w14:textId="77777777" w:rsidR="00DD2A1D" w:rsidRPr="003907AC" w:rsidRDefault="679868F5" w:rsidP="00AE615C">
      <w:pPr>
        <w:pStyle w:val="BodyText"/>
      </w:pPr>
      <w:r w:rsidRPr="7EA0B018">
        <w:rPr>
          <w:rFonts w:eastAsia="Arial"/>
        </w:rPr>
        <w:t xml:space="preserve">Load shedding is an action that the Australian Energy Market Operator (AEMO) can take as a last resort to maintain system security across the network and therefore prevent extensive power outages or damage to infrastructure. This is a measure only used when all remaining reserves are exhausted, and it would typically occur during extreme weather events or when generation capacity is lost due to unforeseen circumstances. </w:t>
      </w:r>
    </w:p>
    <w:p w14:paraId="7A549596" w14:textId="36282BF9" w:rsidR="41870636" w:rsidRDefault="41870636" w:rsidP="7EA0B018">
      <w:pPr>
        <w:pStyle w:val="BodyText"/>
      </w:pPr>
      <w:r w:rsidRPr="7EA0B018">
        <w:rPr>
          <w:rFonts w:ascii="Arial" w:hAnsi="Arial"/>
        </w:rPr>
        <w:t>AEMO works with the electricity network companies to rotate the outages across the network based on load shedding schedules developed by the Victorian Jurisdictional System Security Coordinator (JSSC) to minimise impact. Where possible, outages are rotated to ensure the same area is not impacted more than once; customers may expect to be out of power between one and two hours.</w:t>
      </w:r>
    </w:p>
    <w:p w14:paraId="6FDF7885" w14:textId="1CA06F8E" w:rsidR="00DD2A1D" w:rsidRPr="003907AC" w:rsidRDefault="00DD2A1D" w:rsidP="003C47B0">
      <w:pPr>
        <w:pStyle w:val="Caption"/>
      </w:pPr>
      <w:r w:rsidRPr="003907AC">
        <w:lastRenderedPageBreak/>
        <w:t xml:space="preserve">Table </w:t>
      </w:r>
      <w:r w:rsidRPr="003907AC">
        <w:fldChar w:fldCharType="begin"/>
      </w:r>
      <w:r w:rsidRPr="003907AC">
        <w:instrText>SEQ Table \* ARABIC</w:instrText>
      </w:r>
      <w:r w:rsidRPr="003907AC">
        <w:fldChar w:fldCharType="separate"/>
      </w:r>
      <w:r w:rsidR="00A45804">
        <w:rPr>
          <w:noProof/>
        </w:rPr>
        <w:t>6</w:t>
      </w:r>
      <w:r w:rsidRPr="003907AC">
        <w:fldChar w:fldCharType="end"/>
      </w:r>
      <w:r w:rsidRPr="003907AC">
        <w:t xml:space="preserve">: Lack of reserve levels, </w:t>
      </w:r>
      <w:proofErr w:type="gramStart"/>
      <w:r w:rsidRPr="003907AC">
        <w:t>definition</w:t>
      </w:r>
      <w:proofErr w:type="gramEnd"/>
      <w:r w:rsidRPr="003907AC">
        <w:t xml:space="preserve"> and examples</w:t>
      </w:r>
    </w:p>
    <w:tbl>
      <w:tblPr>
        <w:tblStyle w:val="ListTable4-Accent13"/>
        <w:tblW w:w="8789" w:type="dxa"/>
        <w:tblCellSpacing w:w="28" w:type="dxa"/>
        <w:tblLook w:val="04A0" w:firstRow="1" w:lastRow="0" w:firstColumn="1" w:lastColumn="0" w:noHBand="0" w:noVBand="1"/>
      </w:tblPr>
      <w:tblGrid>
        <w:gridCol w:w="1338"/>
        <w:gridCol w:w="3198"/>
        <w:gridCol w:w="4253"/>
      </w:tblGrid>
      <w:tr w:rsidR="003C47B0" w:rsidRPr="003C47B0" w14:paraId="23104CD2" w14:textId="77777777" w:rsidTr="70E080EC">
        <w:trPr>
          <w:cnfStyle w:val="100000000000" w:firstRow="1" w:lastRow="0" w:firstColumn="0" w:lastColumn="0" w:oddVBand="0" w:evenVBand="0" w:oddHBand="0" w:evenHBand="0" w:firstRowFirstColumn="0" w:firstRowLastColumn="0" w:lastRowFirstColumn="0" w:lastRowLastColumn="0"/>
          <w:tblHeader/>
          <w:tblCellSpacing w:w="28" w:type="dxa"/>
        </w:trPr>
        <w:tc>
          <w:tcPr>
            <w:cnfStyle w:val="001000000000" w:firstRow="0" w:lastRow="0" w:firstColumn="1" w:lastColumn="0" w:oddVBand="0" w:evenVBand="0" w:oddHBand="0" w:evenHBand="0" w:firstRowFirstColumn="0" w:firstRowLastColumn="0" w:lastRowFirstColumn="0" w:lastRowLastColumn="0"/>
            <w:tcW w:w="1254" w:type="dxa"/>
            <w:shd w:val="clear" w:color="auto" w:fill="D9D9D9" w:themeFill="background1" w:themeFillShade="D9"/>
          </w:tcPr>
          <w:p w14:paraId="4DE98890" w14:textId="77777777" w:rsidR="003C47B0" w:rsidRPr="003C47B0" w:rsidRDefault="003C47B0" w:rsidP="003C47B0">
            <w:pPr>
              <w:keepNext/>
              <w:spacing w:before="60" w:after="60" w:line="220" w:lineRule="atLeast"/>
              <w:ind w:left="113" w:right="113"/>
              <w:rPr>
                <w:rFonts w:ascii="Arial" w:hAnsi="Arial"/>
                <w:color w:val="auto"/>
                <w:sz w:val="22"/>
                <w:szCs w:val="22"/>
              </w:rPr>
            </w:pPr>
            <w:r w:rsidRPr="003C47B0">
              <w:rPr>
                <w:rFonts w:ascii="Arial" w:hAnsi="Arial"/>
                <w:color w:val="auto"/>
                <w:sz w:val="22"/>
                <w:szCs w:val="22"/>
              </w:rPr>
              <w:t>Level</w:t>
            </w:r>
          </w:p>
        </w:tc>
        <w:tc>
          <w:tcPr>
            <w:tcW w:w="3142" w:type="dxa"/>
            <w:shd w:val="clear" w:color="auto" w:fill="D9D9D9" w:themeFill="background1" w:themeFillShade="D9"/>
          </w:tcPr>
          <w:p w14:paraId="1328CC57" w14:textId="77777777" w:rsidR="003C47B0" w:rsidRPr="003C47B0" w:rsidRDefault="003C47B0" w:rsidP="003C47B0">
            <w:pPr>
              <w:keepNext/>
              <w:spacing w:before="60" w:after="60" w:line="220" w:lineRule="atLeast"/>
              <w:ind w:left="113" w:right="113"/>
              <w:cnfStyle w:val="100000000000" w:firstRow="1" w:lastRow="0" w:firstColumn="0" w:lastColumn="0" w:oddVBand="0" w:evenVBand="0" w:oddHBand="0" w:evenHBand="0" w:firstRowFirstColumn="0" w:firstRowLastColumn="0" w:lastRowFirstColumn="0" w:lastRowLastColumn="0"/>
              <w:rPr>
                <w:rFonts w:ascii="Arial" w:hAnsi="Arial"/>
                <w:color w:val="auto"/>
                <w:sz w:val="22"/>
                <w:szCs w:val="22"/>
              </w:rPr>
            </w:pPr>
            <w:r w:rsidRPr="003C47B0">
              <w:rPr>
                <w:rFonts w:ascii="Arial" w:hAnsi="Arial"/>
                <w:color w:val="auto"/>
                <w:sz w:val="22"/>
                <w:szCs w:val="22"/>
              </w:rPr>
              <w:t>Definition</w:t>
            </w:r>
          </w:p>
        </w:tc>
        <w:tc>
          <w:tcPr>
            <w:tcW w:w="4169" w:type="dxa"/>
            <w:shd w:val="clear" w:color="auto" w:fill="D9D9D9" w:themeFill="background1" w:themeFillShade="D9"/>
          </w:tcPr>
          <w:p w14:paraId="1F33D8C9" w14:textId="77777777" w:rsidR="003C47B0" w:rsidRPr="003C47B0" w:rsidRDefault="003C47B0" w:rsidP="003C47B0">
            <w:pPr>
              <w:keepNext/>
              <w:spacing w:before="60" w:after="60" w:line="220" w:lineRule="atLeast"/>
              <w:ind w:left="113" w:right="113"/>
              <w:cnfStyle w:val="100000000000" w:firstRow="1" w:lastRow="0" w:firstColumn="0" w:lastColumn="0" w:oddVBand="0" w:evenVBand="0" w:oddHBand="0" w:evenHBand="0" w:firstRowFirstColumn="0" w:firstRowLastColumn="0" w:lastRowFirstColumn="0" w:lastRowLastColumn="0"/>
              <w:rPr>
                <w:rFonts w:ascii="Arial" w:hAnsi="Arial"/>
                <w:color w:val="auto"/>
                <w:sz w:val="22"/>
                <w:szCs w:val="22"/>
              </w:rPr>
            </w:pPr>
            <w:r w:rsidRPr="003C47B0">
              <w:rPr>
                <w:rFonts w:ascii="Arial" w:hAnsi="Arial"/>
                <w:color w:val="auto"/>
                <w:sz w:val="22"/>
                <w:szCs w:val="22"/>
              </w:rPr>
              <w:t>Example</w:t>
            </w:r>
          </w:p>
        </w:tc>
      </w:tr>
      <w:tr w:rsidR="003C47B0" w:rsidRPr="003C47B0" w14:paraId="246FCEF1"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254" w:type="dxa"/>
            <w:tcBorders>
              <w:top w:val="single" w:sz="12" w:space="0" w:color="FFCC00"/>
              <w:left w:val="single" w:sz="12" w:space="0" w:color="FFCC00"/>
              <w:bottom w:val="single" w:sz="12" w:space="0" w:color="FFCC00"/>
              <w:right w:val="single" w:sz="12" w:space="0" w:color="FFCC00"/>
            </w:tcBorders>
            <w:shd w:val="clear" w:color="auto" w:fill="FFCC00"/>
            <w:vAlign w:val="center"/>
          </w:tcPr>
          <w:p w14:paraId="435FD7CD" w14:textId="77777777" w:rsidR="003C47B0" w:rsidRPr="003C47B0" w:rsidRDefault="003C47B0" w:rsidP="003C47B0">
            <w:pPr>
              <w:keepNext/>
              <w:spacing w:before="60" w:after="60" w:line="220" w:lineRule="atLeast"/>
              <w:ind w:left="113" w:right="113"/>
              <w:rPr>
                <w:rFonts w:ascii="Arial" w:hAnsi="Arial"/>
                <w:color w:val="FFFFFF"/>
                <w:sz w:val="22"/>
                <w:szCs w:val="22"/>
              </w:rPr>
            </w:pPr>
            <w:r w:rsidRPr="003C47B0">
              <w:rPr>
                <w:rFonts w:ascii="Arial" w:hAnsi="Arial"/>
                <w:color w:val="FFFFFF"/>
                <w:sz w:val="22"/>
                <w:szCs w:val="22"/>
              </w:rPr>
              <w:t xml:space="preserve">LOR1 </w:t>
            </w:r>
          </w:p>
          <w:p w14:paraId="4EE6A033" w14:textId="77777777" w:rsidR="003C47B0" w:rsidRPr="003C47B0" w:rsidRDefault="003C47B0" w:rsidP="003C47B0">
            <w:pPr>
              <w:keepNext/>
              <w:spacing w:before="60" w:after="60" w:line="220" w:lineRule="atLeast"/>
              <w:ind w:left="113" w:right="113"/>
              <w:rPr>
                <w:rFonts w:ascii="Arial" w:hAnsi="Arial"/>
                <w:color w:val="FFFFFF"/>
                <w:sz w:val="22"/>
                <w:szCs w:val="22"/>
              </w:rPr>
            </w:pPr>
          </w:p>
        </w:tc>
        <w:tc>
          <w:tcPr>
            <w:tcW w:w="3142" w:type="dxa"/>
            <w:tcBorders>
              <w:top w:val="single" w:sz="12" w:space="0" w:color="FFCC00"/>
              <w:left w:val="single" w:sz="12" w:space="0" w:color="FFCC00"/>
              <w:bottom w:val="single" w:sz="12" w:space="0" w:color="FFCC00"/>
              <w:right w:val="single" w:sz="12" w:space="0" w:color="FFCC00"/>
            </w:tcBorders>
            <w:shd w:val="clear" w:color="auto" w:fill="FFF2CC"/>
          </w:tcPr>
          <w:p w14:paraId="009C9E5F" w14:textId="29B9A47F" w:rsidR="003C47B0" w:rsidRPr="003C47B0" w:rsidRDefault="003C47B0" w:rsidP="70E080EC">
            <w:pPr>
              <w:keepNext/>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70E080EC">
              <w:rPr>
                <w:rFonts w:ascii="Arial" w:hAnsi="Arial"/>
                <w:color w:val="000000"/>
              </w:rPr>
              <w:t xml:space="preserve">Victoria has enough supply to meet forecast </w:t>
            </w:r>
            <w:bookmarkStart w:id="1488" w:name="_Int_fxm9l0IK"/>
            <w:r w:rsidR="2E10284B" w:rsidRPr="70E080EC">
              <w:rPr>
                <w:rFonts w:ascii="Arial" w:hAnsi="Arial"/>
                <w:color w:val="000000"/>
              </w:rPr>
              <w:t>demand,</w:t>
            </w:r>
            <w:bookmarkEnd w:id="1488"/>
            <w:r w:rsidRPr="70E080EC">
              <w:rPr>
                <w:rFonts w:ascii="Arial" w:hAnsi="Arial"/>
                <w:color w:val="000000"/>
              </w:rPr>
              <w:t xml:space="preserve"> but reserves are forecast to fall below the LOR1 Trigger. As such, AEMO seeks additional reserves.</w:t>
            </w:r>
          </w:p>
          <w:p w14:paraId="13744DD3" w14:textId="77777777" w:rsidR="003C47B0" w:rsidRPr="003C47B0" w:rsidRDefault="003C47B0" w:rsidP="003C47B0">
            <w:pPr>
              <w:keepNext/>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olor w:val="000000"/>
                <w:szCs w:val="16"/>
              </w:rPr>
            </w:pPr>
          </w:p>
        </w:tc>
        <w:tc>
          <w:tcPr>
            <w:tcW w:w="4169" w:type="dxa"/>
            <w:tcBorders>
              <w:top w:val="single" w:sz="12" w:space="0" w:color="FFCC00"/>
              <w:left w:val="single" w:sz="12" w:space="0" w:color="FFCC00"/>
              <w:bottom w:val="single" w:sz="12" w:space="0" w:color="FFCC00"/>
              <w:right w:val="single" w:sz="12" w:space="0" w:color="FFCC00"/>
            </w:tcBorders>
            <w:shd w:val="clear" w:color="auto" w:fill="FFF2CC"/>
          </w:tcPr>
          <w:p w14:paraId="6FDA4AAD" w14:textId="1020FE23" w:rsidR="003C47B0" w:rsidRPr="003C47B0" w:rsidRDefault="003C47B0" w:rsidP="70E080EC">
            <w:pPr>
              <w:keepNext/>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70E080EC">
              <w:rPr>
                <w:rFonts w:ascii="Arial" w:hAnsi="Arial"/>
                <w:color w:val="000000"/>
              </w:rPr>
              <w:t>There is a risk that supply will not meet forecast demand if either: (</w:t>
            </w:r>
            <w:proofErr w:type="spellStart"/>
            <w:r w:rsidRPr="70E080EC">
              <w:rPr>
                <w:rFonts w:ascii="Arial" w:hAnsi="Arial"/>
                <w:color w:val="000000"/>
              </w:rPr>
              <w:t>i</w:t>
            </w:r>
            <w:proofErr w:type="spellEnd"/>
            <w:r w:rsidRPr="70E080EC">
              <w:rPr>
                <w:rFonts w:ascii="Arial" w:hAnsi="Arial"/>
                <w:color w:val="000000"/>
              </w:rPr>
              <w:t>) the two largest generating units are lost (</w:t>
            </w:r>
            <w:bookmarkStart w:id="1489" w:name="_Int_onDW39zK"/>
            <w:r w:rsidR="62E5E552" w:rsidRPr="70E080EC">
              <w:rPr>
                <w:rFonts w:ascii="Arial" w:hAnsi="Arial"/>
                <w:color w:val="000000"/>
              </w:rPr>
              <w:t>e.g.,</w:t>
            </w:r>
            <w:bookmarkEnd w:id="1489"/>
            <w:r w:rsidRPr="70E080EC">
              <w:rPr>
                <w:rFonts w:ascii="Arial" w:hAnsi="Arial"/>
                <w:color w:val="000000"/>
              </w:rPr>
              <w:t xml:space="preserve"> two of Loy Yang A’s four units at 560 MW each); or (ii) both the largest generating unit and </w:t>
            </w:r>
            <w:proofErr w:type="spellStart"/>
            <w:r w:rsidRPr="70E080EC">
              <w:rPr>
                <w:rFonts w:ascii="Arial" w:hAnsi="Arial"/>
                <w:color w:val="000000"/>
              </w:rPr>
              <w:t>Basslink</w:t>
            </w:r>
            <w:proofErr w:type="spellEnd"/>
            <w:r w:rsidRPr="70E080EC">
              <w:rPr>
                <w:rFonts w:ascii="Arial" w:hAnsi="Arial"/>
                <w:color w:val="000000"/>
              </w:rPr>
              <w:t xml:space="preserve"> are lost (</w:t>
            </w:r>
            <w:bookmarkStart w:id="1490" w:name="_Int_l41ebNnm"/>
            <w:r w:rsidR="7BA2D956" w:rsidRPr="70E080EC">
              <w:rPr>
                <w:rFonts w:ascii="Arial" w:hAnsi="Arial"/>
                <w:color w:val="000000"/>
              </w:rPr>
              <w:t>e.g.,</w:t>
            </w:r>
            <w:bookmarkEnd w:id="1490"/>
            <w:r w:rsidRPr="70E080EC">
              <w:rPr>
                <w:rFonts w:ascii="Arial" w:hAnsi="Arial"/>
                <w:color w:val="000000"/>
              </w:rPr>
              <w:t xml:space="preserve"> a Loy Yang A unit at 560 MW plus </w:t>
            </w:r>
            <w:proofErr w:type="spellStart"/>
            <w:r w:rsidRPr="70E080EC">
              <w:rPr>
                <w:rFonts w:ascii="Arial" w:hAnsi="Arial"/>
                <w:color w:val="000000"/>
              </w:rPr>
              <w:t>Basslink</w:t>
            </w:r>
            <w:proofErr w:type="spellEnd"/>
            <w:r w:rsidRPr="70E080EC">
              <w:rPr>
                <w:rFonts w:ascii="Arial" w:hAnsi="Arial"/>
                <w:color w:val="000000"/>
              </w:rPr>
              <w:t xml:space="preserve"> at 594 MW).</w:t>
            </w:r>
          </w:p>
        </w:tc>
      </w:tr>
      <w:tr w:rsidR="003C47B0" w:rsidRPr="003C47B0" w14:paraId="30060B26" w14:textId="77777777" w:rsidTr="70E080EC">
        <w:trPr>
          <w:tblCellSpacing w:w="28" w:type="dxa"/>
        </w:trPr>
        <w:tc>
          <w:tcPr>
            <w:cnfStyle w:val="001000000000" w:firstRow="0" w:lastRow="0" w:firstColumn="1" w:lastColumn="0" w:oddVBand="0" w:evenVBand="0" w:oddHBand="0" w:evenHBand="0" w:firstRowFirstColumn="0" w:firstRowLastColumn="0" w:lastRowFirstColumn="0" w:lastRowLastColumn="0"/>
            <w:tcW w:w="1254" w:type="dxa"/>
            <w:tcBorders>
              <w:top w:val="single" w:sz="12" w:space="0" w:color="FF9900"/>
              <w:left w:val="single" w:sz="12" w:space="0" w:color="FF9900"/>
              <w:bottom w:val="single" w:sz="12" w:space="0" w:color="FF9900"/>
              <w:right w:val="single" w:sz="12" w:space="0" w:color="FF9900"/>
            </w:tcBorders>
            <w:shd w:val="clear" w:color="auto" w:fill="FF9900"/>
            <w:vAlign w:val="center"/>
          </w:tcPr>
          <w:p w14:paraId="7062A7A0" w14:textId="77777777" w:rsidR="003C47B0" w:rsidRPr="003C47B0" w:rsidRDefault="003C47B0" w:rsidP="003C47B0">
            <w:pPr>
              <w:spacing w:before="60" w:after="60" w:line="220" w:lineRule="atLeast"/>
              <w:ind w:left="113" w:right="113"/>
              <w:rPr>
                <w:rFonts w:ascii="Arial" w:hAnsi="Arial"/>
                <w:color w:val="FFFFFF"/>
                <w:sz w:val="22"/>
                <w:szCs w:val="22"/>
              </w:rPr>
            </w:pPr>
            <w:r w:rsidRPr="003C47B0">
              <w:rPr>
                <w:rFonts w:ascii="Arial" w:hAnsi="Arial"/>
                <w:color w:val="FFFFFF"/>
                <w:sz w:val="22"/>
                <w:szCs w:val="22"/>
              </w:rPr>
              <w:t>LOR2</w:t>
            </w:r>
          </w:p>
          <w:p w14:paraId="13C5882F" w14:textId="77777777" w:rsidR="003C47B0" w:rsidRPr="003C47B0" w:rsidRDefault="003C47B0" w:rsidP="003C47B0">
            <w:pPr>
              <w:keepNext/>
              <w:spacing w:before="60" w:after="60" w:line="220" w:lineRule="atLeast"/>
              <w:ind w:left="113" w:right="113"/>
              <w:rPr>
                <w:rFonts w:ascii="Arial" w:hAnsi="Arial"/>
                <w:color w:val="FFFFFF"/>
                <w:sz w:val="22"/>
                <w:szCs w:val="22"/>
              </w:rPr>
            </w:pPr>
          </w:p>
        </w:tc>
        <w:tc>
          <w:tcPr>
            <w:tcW w:w="3142" w:type="dxa"/>
            <w:tcBorders>
              <w:top w:val="single" w:sz="12" w:space="0" w:color="FF9900"/>
              <w:left w:val="single" w:sz="12" w:space="0" w:color="FF9900"/>
              <w:bottom w:val="single" w:sz="12" w:space="0" w:color="FF9900"/>
              <w:right w:val="single" w:sz="12" w:space="0" w:color="FF9900"/>
            </w:tcBorders>
            <w:shd w:val="clear" w:color="auto" w:fill="FFC775"/>
          </w:tcPr>
          <w:p w14:paraId="1C062BA6" w14:textId="1BD96011" w:rsidR="003C47B0" w:rsidRPr="003C47B0" w:rsidRDefault="003C47B0" w:rsidP="70E080EC">
            <w:pPr>
              <w:keepNext/>
              <w:spacing w:before="60" w:after="60" w:line="220" w:lineRule="atLeast"/>
              <w:ind w:left="113" w:right="113"/>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70E080EC">
              <w:rPr>
                <w:rFonts w:ascii="Arial" w:hAnsi="Arial"/>
                <w:color w:val="000000"/>
              </w:rPr>
              <w:t xml:space="preserve">Victoria has enough supply to meet forecast </w:t>
            </w:r>
            <w:bookmarkStart w:id="1491" w:name="_Int_lnOpdxPa"/>
            <w:r w:rsidR="521A3751" w:rsidRPr="70E080EC">
              <w:rPr>
                <w:rFonts w:ascii="Arial" w:hAnsi="Arial"/>
                <w:color w:val="000000"/>
              </w:rPr>
              <w:t>demand,</w:t>
            </w:r>
            <w:bookmarkEnd w:id="1491"/>
            <w:r w:rsidRPr="70E080EC">
              <w:rPr>
                <w:rFonts w:ascii="Arial" w:hAnsi="Arial"/>
                <w:color w:val="000000"/>
              </w:rPr>
              <w:t xml:space="preserve"> but reserves are forecast to fall below the LOR 2 Trigger. As such AEMO seeks additional reserves.</w:t>
            </w:r>
          </w:p>
        </w:tc>
        <w:tc>
          <w:tcPr>
            <w:tcW w:w="4169" w:type="dxa"/>
            <w:tcBorders>
              <w:top w:val="single" w:sz="12" w:space="0" w:color="FF9900"/>
              <w:left w:val="single" w:sz="12" w:space="0" w:color="FF9900"/>
              <w:bottom w:val="single" w:sz="12" w:space="0" w:color="FF9900"/>
              <w:right w:val="single" w:sz="12" w:space="0" w:color="FF9900"/>
            </w:tcBorders>
            <w:shd w:val="clear" w:color="auto" w:fill="FFC775"/>
          </w:tcPr>
          <w:p w14:paraId="33C5381A" w14:textId="413F3063" w:rsidR="003C47B0" w:rsidRPr="003C47B0" w:rsidRDefault="003C47B0" w:rsidP="70E080EC">
            <w:pPr>
              <w:keepNext/>
              <w:spacing w:before="60" w:after="60" w:line="220" w:lineRule="atLeast"/>
              <w:ind w:left="113" w:right="113"/>
              <w:cnfStyle w:val="000000000000" w:firstRow="0" w:lastRow="0" w:firstColumn="0" w:lastColumn="0" w:oddVBand="0" w:evenVBand="0" w:oddHBand="0" w:evenHBand="0" w:firstRowFirstColumn="0" w:firstRowLastColumn="0" w:lastRowFirstColumn="0" w:lastRowLastColumn="0"/>
              <w:rPr>
                <w:rFonts w:ascii="Arial" w:hAnsi="Arial"/>
                <w:color w:val="000000"/>
              </w:rPr>
            </w:pPr>
            <w:r w:rsidRPr="70E080EC">
              <w:rPr>
                <w:rFonts w:ascii="Arial" w:hAnsi="Arial"/>
                <w:color w:val="000000"/>
              </w:rPr>
              <w:t>There is a risk that supply will not meet forecast demand if either: (</w:t>
            </w:r>
            <w:proofErr w:type="spellStart"/>
            <w:r w:rsidRPr="70E080EC">
              <w:rPr>
                <w:rFonts w:ascii="Arial" w:hAnsi="Arial"/>
                <w:color w:val="000000"/>
              </w:rPr>
              <w:t>i</w:t>
            </w:r>
            <w:proofErr w:type="spellEnd"/>
            <w:r w:rsidRPr="70E080EC">
              <w:rPr>
                <w:rFonts w:ascii="Arial" w:hAnsi="Arial"/>
                <w:color w:val="000000"/>
              </w:rPr>
              <w:t>) the largest generating unit is lost (</w:t>
            </w:r>
            <w:bookmarkStart w:id="1492" w:name="_Int_6kwMlMqv"/>
            <w:r w:rsidR="41EEED8E" w:rsidRPr="70E080EC">
              <w:rPr>
                <w:rFonts w:ascii="Arial" w:hAnsi="Arial"/>
                <w:color w:val="000000"/>
              </w:rPr>
              <w:t>e.g.,</w:t>
            </w:r>
            <w:bookmarkEnd w:id="1492"/>
            <w:r w:rsidRPr="70E080EC">
              <w:rPr>
                <w:rFonts w:ascii="Arial" w:hAnsi="Arial"/>
                <w:color w:val="000000"/>
              </w:rPr>
              <w:t xml:space="preserve"> a Loy Yang A unit at 560 MW); or (ii) </w:t>
            </w:r>
            <w:proofErr w:type="spellStart"/>
            <w:r w:rsidRPr="70E080EC">
              <w:rPr>
                <w:rFonts w:ascii="Arial" w:hAnsi="Arial"/>
                <w:color w:val="000000"/>
              </w:rPr>
              <w:t>Basslink</w:t>
            </w:r>
            <w:proofErr w:type="spellEnd"/>
            <w:r w:rsidRPr="70E080EC">
              <w:rPr>
                <w:rFonts w:ascii="Arial" w:hAnsi="Arial"/>
                <w:color w:val="000000"/>
              </w:rPr>
              <w:t xml:space="preserve"> is lost at 594 MW.</w:t>
            </w:r>
          </w:p>
        </w:tc>
      </w:tr>
      <w:tr w:rsidR="003C47B0" w:rsidRPr="003C47B0" w14:paraId="464732A2" w14:textId="77777777" w:rsidTr="70E080EC">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1254" w:type="dxa"/>
            <w:tcBorders>
              <w:top w:val="single" w:sz="12" w:space="0" w:color="FF0000"/>
              <w:left w:val="single" w:sz="12" w:space="0" w:color="FF0000"/>
              <w:bottom w:val="single" w:sz="12" w:space="0" w:color="FF0000"/>
              <w:right w:val="single" w:sz="12" w:space="0" w:color="FF0000"/>
            </w:tcBorders>
            <w:shd w:val="clear" w:color="auto" w:fill="FF0000"/>
            <w:vAlign w:val="center"/>
          </w:tcPr>
          <w:p w14:paraId="72E67224" w14:textId="77777777" w:rsidR="003C47B0" w:rsidRPr="003C47B0" w:rsidRDefault="003C47B0" w:rsidP="003C47B0">
            <w:pPr>
              <w:spacing w:before="60" w:after="60" w:line="220" w:lineRule="atLeast"/>
              <w:ind w:left="113" w:right="113"/>
              <w:rPr>
                <w:rFonts w:ascii="Arial" w:hAnsi="Arial"/>
                <w:color w:val="FFFFFF"/>
                <w:sz w:val="22"/>
                <w:szCs w:val="22"/>
              </w:rPr>
            </w:pPr>
            <w:r w:rsidRPr="003C47B0">
              <w:rPr>
                <w:rFonts w:ascii="Arial" w:hAnsi="Arial"/>
                <w:color w:val="FFFFFF"/>
                <w:sz w:val="22"/>
                <w:szCs w:val="22"/>
              </w:rPr>
              <w:t>LOR3</w:t>
            </w:r>
          </w:p>
          <w:p w14:paraId="0DB5B7E8" w14:textId="77777777" w:rsidR="003C47B0" w:rsidRPr="003C47B0" w:rsidRDefault="003C47B0" w:rsidP="003C47B0">
            <w:pPr>
              <w:keepNext/>
              <w:spacing w:before="60" w:after="60" w:line="220" w:lineRule="atLeast"/>
              <w:ind w:left="113" w:right="113"/>
              <w:rPr>
                <w:rFonts w:ascii="Arial" w:hAnsi="Arial"/>
                <w:color w:val="FFFFFF"/>
                <w:sz w:val="22"/>
                <w:szCs w:val="22"/>
              </w:rPr>
            </w:pPr>
          </w:p>
        </w:tc>
        <w:tc>
          <w:tcPr>
            <w:tcW w:w="3142" w:type="dxa"/>
            <w:tcBorders>
              <w:top w:val="single" w:sz="12" w:space="0" w:color="FF0000"/>
              <w:left w:val="single" w:sz="12" w:space="0" w:color="FF0000"/>
              <w:bottom w:val="single" w:sz="12" w:space="0" w:color="FF0000"/>
              <w:right w:val="single" w:sz="12" w:space="0" w:color="FF0000"/>
            </w:tcBorders>
            <w:shd w:val="clear" w:color="auto" w:fill="FFAFAF"/>
          </w:tcPr>
          <w:p w14:paraId="0F5CF742" w14:textId="77777777" w:rsidR="003C47B0" w:rsidRPr="003C47B0" w:rsidRDefault="003C47B0" w:rsidP="003C47B0">
            <w:pPr>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olor w:val="333333"/>
                <w:szCs w:val="16"/>
                <w:lang w:val="en"/>
              </w:rPr>
            </w:pPr>
            <w:r w:rsidRPr="003C47B0">
              <w:rPr>
                <w:rFonts w:ascii="Arial" w:hAnsi="Arial"/>
                <w:color w:val="000000"/>
                <w:szCs w:val="16"/>
              </w:rPr>
              <w:t>Victoria is forecast to not have enough supply to meet demand. As such AEMO seeks additional reserves. An update will be provided, if additional reserves are not available, load shedding is expected.</w:t>
            </w:r>
          </w:p>
        </w:tc>
        <w:tc>
          <w:tcPr>
            <w:tcW w:w="4169" w:type="dxa"/>
            <w:tcBorders>
              <w:top w:val="single" w:sz="12" w:space="0" w:color="FF0000"/>
              <w:left w:val="single" w:sz="12" w:space="0" w:color="FF0000"/>
              <w:bottom w:val="single" w:sz="12" w:space="0" w:color="FF0000"/>
              <w:right w:val="single" w:sz="12" w:space="0" w:color="FF0000"/>
            </w:tcBorders>
            <w:shd w:val="clear" w:color="auto" w:fill="FFAFAF"/>
          </w:tcPr>
          <w:p w14:paraId="7C864663" w14:textId="77777777" w:rsidR="003C47B0" w:rsidRPr="003C47B0" w:rsidRDefault="003C47B0" w:rsidP="003C47B0">
            <w:pPr>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olor w:val="000000"/>
                <w:szCs w:val="16"/>
              </w:rPr>
            </w:pPr>
            <w:r w:rsidRPr="003C47B0">
              <w:rPr>
                <w:rFonts w:ascii="Arial" w:hAnsi="Arial"/>
                <w:color w:val="000000"/>
                <w:szCs w:val="16"/>
              </w:rPr>
              <w:t>Supply does not meet demand. Load shedding occurs (either manual or selective depending on available time).</w:t>
            </w:r>
          </w:p>
        </w:tc>
      </w:tr>
    </w:tbl>
    <w:p w14:paraId="1DA871E5" w14:textId="77777777" w:rsidR="00DD2A1D" w:rsidRPr="003907AC" w:rsidRDefault="00DD2A1D" w:rsidP="00DD2A1D">
      <w:pPr>
        <w:pStyle w:val="Default"/>
        <w:spacing w:after="120"/>
        <w:jc w:val="both"/>
        <w:rPr>
          <w:sz w:val="22"/>
          <w:szCs w:val="22"/>
        </w:rPr>
      </w:pPr>
    </w:p>
    <w:p w14:paraId="62260EF8" w14:textId="77777777" w:rsidR="00DD2A1D" w:rsidRPr="003907AC" w:rsidRDefault="00DD2A1D" w:rsidP="003C47B0">
      <w:pPr>
        <w:pStyle w:val="BodyText"/>
      </w:pPr>
      <w:r w:rsidRPr="003907AC">
        <w:t xml:space="preserve">The Electricity Industry Act and the Electricity Safety Act provide general powers of enforcement to Energy Safety Victoria in relation to safety and other related obligations. Under the Electricity Safety Act the Chairperson of ESV may do or give any direction they consider necessary to make an electricity </w:t>
      </w:r>
      <w:proofErr w:type="gramStart"/>
      <w:r w:rsidRPr="003907AC">
        <w:t>emergency situation</w:t>
      </w:r>
      <w:proofErr w:type="gramEnd"/>
      <w:r w:rsidRPr="003907AC">
        <w:t xml:space="preserve"> safe.  </w:t>
      </w:r>
    </w:p>
    <w:p w14:paraId="69192372" w14:textId="5C57BC0A" w:rsidR="00DD2A1D" w:rsidRPr="003907AC" w:rsidRDefault="00DD2A1D" w:rsidP="003C47B0">
      <w:pPr>
        <w:pStyle w:val="BodyText"/>
      </w:pPr>
      <w:r w:rsidRPr="003907AC">
        <w:t xml:space="preserve">Under the Electricity Industry Act, </w:t>
      </w:r>
      <w:r w:rsidR="00380088">
        <w:t>t</w:t>
      </w:r>
      <w:r w:rsidR="00380088" w:rsidRPr="003907AC">
        <w:t xml:space="preserve">he </w:t>
      </w:r>
      <w:r w:rsidRPr="003907AC">
        <w:t xml:space="preserve">Governor in Council may proclaim an electricity supply emergency if: </w:t>
      </w:r>
    </w:p>
    <w:p w14:paraId="0471C713" w14:textId="04B96888" w:rsidR="00DD2A1D" w:rsidRPr="003907AC" w:rsidRDefault="00DD2A1D" w:rsidP="003C47B0">
      <w:pPr>
        <w:pStyle w:val="BodyText"/>
        <w:numPr>
          <w:ilvl w:val="0"/>
          <w:numId w:val="34"/>
        </w:numPr>
      </w:pPr>
      <w:r w:rsidRPr="003907AC">
        <w:t xml:space="preserve">an event has occurred, or is about to occur, which may endanger an undertaking of a distribution company, a transmission company or a generation company or a person who supplies electricity to another person or materially affect the safe, </w:t>
      </w:r>
      <w:proofErr w:type="gramStart"/>
      <w:r w:rsidRPr="003907AC">
        <w:t>economical</w:t>
      </w:r>
      <w:proofErr w:type="gramEnd"/>
      <w:r w:rsidRPr="003907AC">
        <w:t xml:space="preserve"> or effective supply of electricity; or </w:t>
      </w:r>
    </w:p>
    <w:p w14:paraId="1BEEE4A5" w14:textId="6A5860E9" w:rsidR="00DD2A1D" w:rsidRPr="003907AC" w:rsidRDefault="00DD2A1D" w:rsidP="003C47B0">
      <w:pPr>
        <w:pStyle w:val="BodyText"/>
        <w:numPr>
          <w:ilvl w:val="0"/>
          <w:numId w:val="34"/>
        </w:numPr>
      </w:pPr>
      <w:r w:rsidRPr="003907AC">
        <w:t xml:space="preserve">the available supply of electricity is, or is likely to become, less than is sufficient for the reasonable requirements of the community. </w:t>
      </w:r>
    </w:p>
    <w:p w14:paraId="36C63F05" w14:textId="77777777" w:rsidR="00DD2A1D" w:rsidRPr="003907AC" w:rsidRDefault="00DD2A1D" w:rsidP="003C47B0">
      <w:pPr>
        <w:pStyle w:val="BodyText"/>
      </w:pPr>
      <w:r w:rsidRPr="367F2C92">
        <w:t>The proclamation must be published in the Government Gazette and takes effect on the date of its publication; the Governor in Council may at any time revoke a proclamation.</w:t>
      </w:r>
    </w:p>
    <w:p w14:paraId="6E6C7BAE" w14:textId="77777777" w:rsidR="00DD2A1D" w:rsidRPr="003907AC" w:rsidRDefault="00DD2A1D" w:rsidP="003C47B0">
      <w:pPr>
        <w:pStyle w:val="BodyText"/>
      </w:pPr>
      <w:r w:rsidRPr="003907AC">
        <w:t>Once this proclamation is made, the Minister for Energy, Environment and Climate Change may issue directions in accordance with the Act necessary to</w:t>
      </w:r>
    </w:p>
    <w:p w14:paraId="52D1AC62" w14:textId="6630DE9B" w:rsidR="00DD2A1D" w:rsidRPr="003907AC" w:rsidRDefault="00DD2A1D" w:rsidP="003C47B0">
      <w:pPr>
        <w:pStyle w:val="BodyText"/>
        <w:numPr>
          <w:ilvl w:val="0"/>
          <w:numId w:val="36"/>
        </w:numPr>
      </w:pPr>
      <w:r w:rsidRPr="003907AC">
        <w:t xml:space="preserve">protect any undertaking of a distribution company, a transmission company or a generation company or a person who supplies electricity to another person; or </w:t>
      </w:r>
    </w:p>
    <w:p w14:paraId="50CF1447" w14:textId="265112B7" w:rsidR="00DD2A1D" w:rsidRPr="003907AC" w:rsidRDefault="00DD2A1D" w:rsidP="003C47B0">
      <w:pPr>
        <w:pStyle w:val="BodyText"/>
        <w:numPr>
          <w:ilvl w:val="0"/>
          <w:numId w:val="36"/>
        </w:numPr>
      </w:pPr>
      <w:r w:rsidRPr="003907AC">
        <w:t xml:space="preserve">ensure the safe, </w:t>
      </w:r>
      <w:proofErr w:type="gramStart"/>
      <w:r w:rsidRPr="003907AC">
        <w:t>economical</w:t>
      </w:r>
      <w:proofErr w:type="gramEnd"/>
      <w:r w:rsidRPr="003907AC">
        <w:t xml:space="preserve"> or effective supply of electricity; or </w:t>
      </w:r>
    </w:p>
    <w:p w14:paraId="3349B81E" w14:textId="0F47C708" w:rsidR="00DD2A1D" w:rsidRPr="003907AC" w:rsidRDefault="00DD2A1D" w:rsidP="003C47B0">
      <w:pPr>
        <w:pStyle w:val="BodyText"/>
        <w:numPr>
          <w:ilvl w:val="0"/>
          <w:numId w:val="36"/>
        </w:numPr>
      </w:pPr>
      <w:r w:rsidRPr="003907AC">
        <w:t xml:space="preserve">ensure that the available electricity is fairly distributed to the community; or </w:t>
      </w:r>
    </w:p>
    <w:p w14:paraId="2E2925F3" w14:textId="4FAB3B7F" w:rsidR="00DD2A1D" w:rsidRPr="003907AC" w:rsidRDefault="00DD2A1D" w:rsidP="003C47B0">
      <w:pPr>
        <w:pStyle w:val="BodyText"/>
        <w:numPr>
          <w:ilvl w:val="0"/>
          <w:numId w:val="36"/>
        </w:numPr>
      </w:pPr>
      <w:r w:rsidRPr="00632D3C">
        <w:t xml:space="preserve">increase the available supply of electricity; or </w:t>
      </w:r>
    </w:p>
    <w:p w14:paraId="7BA1A6F4" w14:textId="51F90F87" w:rsidR="00DD2A1D" w:rsidRPr="00632D3C" w:rsidRDefault="00DD2A1D" w:rsidP="003C47B0">
      <w:pPr>
        <w:pStyle w:val="BodyText"/>
        <w:numPr>
          <w:ilvl w:val="0"/>
          <w:numId w:val="36"/>
        </w:numPr>
      </w:pPr>
      <w:r w:rsidRPr="00632D3C">
        <w:lastRenderedPageBreak/>
        <w:t>regulate the use of the available supply of electricity, having regard to the needs of the community</w:t>
      </w:r>
    </w:p>
    <w:p w14:paraId="038ECA04" w14:textId="77777777" w:rsidR="00DD2A1D" w:rsidRPr="003907AC" w:rsidRDefault="00DD2A1D" w:rsidP="00DD2A1D">
      <w:pPr>
        <w:pStyle w:val="Heading3"/>
      </w:pPr>
      <w:bookmarkStart w:id="1493" w:name="_Toc94013200"/>
      <w:r w:rsidRPr="003907AC">
        <w:t>Mutual Aid Arrangements for electricity supply industry</w:t>
      </w:r>
      <w:bookmarkEnd w:id="1493"/>
    </w:p>
    <w:p w14:paraId="17E8BA2C" w14:textId="77777777" w:rsidR="00DD2A1D" w:rsidRPr="003907AC" w:rsidRDefault="00DD2A1D" w:rsidP="003C47B0">
      <w:pPr>
        <w:pStyle w:val="BodyText"/>
      </w:pPr>
      <w:r w:rsidRPr="003907AC">
        <w:t xml:space="preserve">The Victorian Mutual Aid Agreement for Distribution Businesses of the Victorian Electricity Supply System (2017) is an agreed process between Victorian electricity distribution businesses to obtain, where possible, short-term assistance in the form of personnel, equipment, materials, and other related services outside the area that a distribution business operates in. </w:t>
      </w:r>
    </w:p>
    <w:p w14:paraId="563ADEBC" w14:textId="77777777" w:rsidR="00DD2A1D" w:rsidRPr="003907AC" w:rsidRDefault="00DD2A1D" w:rsidP="003C47B0">
      <w:pPr>
        <w:pStyle w:val="BodyText"/>
      </w:pPr>
      <w:r w:rsidRPr="003907AC">
        <w:t>The primary objective of this arrangement is to facilitate rapid, short-term deployment of assistance following an event. Mutual aid may be requested when an incident occurs, and the distribution business has exhausted or is nearing exhaustion of all its available resources.</w:t>
      </w:r>
    </w:p>
    <w:p w14:paraId="2B7FA758" w14:textId="77777777" w:rsidR="00DD2A1D" w:rsidRPr="003907AC" w:rsidRDefault="00DD2A1D" w:rsidP="00DD2A1D">
      <w:pPr>
        <w:pStyle w:val="Heading3"/>
      </w:pPr>
      <w:bookmarkStart w:id="1494" w:name="_Toc82350804"/>
      <w:bookmarkStart w:id="1495" w:name="_Toc94013201"/>
      <w:bookmarkStart w:id="1496" w:name="_Toc82274522"/>
      <w:r w:rsidRPr="003907AC">
        <w:t>Gas</w:t>
      </w:r>
      <w:bookmarkEnd w:id="1494"/>
      <w:bookmarkEnd w:id="1495"/>
      <w:r w:rsidRPr="003907AC">
        <w:t xml:space="preserve"> </w:t>
      </w:r>
      <w:bookmarkEnd w:id="1496"/>
    </w:p>
    <w:p w14:paraId="5B4394AA" w14:textId="77777777" w:rsidR="00DD2A1D" w:rsidRPr="003907AC" w:rsidRDefault="00DD2A1D" w:rsidP="003C47B0">
      <w:pPr>
        <w:pStyle w:val="BodyText"/>
      </w:pPr>
      <w:r w:rsidRPr="003907AC">
        <w:rPr>
          <w:rFonts w:eastAsia="Arial"/>
        </w:rPr>
        <w:t xml:space="preserve">AEMO has a range of powers to intervene in the gas market. This includes emergency provisions under the </w:t>
      </w:r>
      <w:r w:rsidRPr="003907AC">
        <w:rPr>
          <w:rFonts w:eastAsia="Arial"/>
          <w:i/>
        </w:rPr>
        <w:t>National Gas Rules</w:t>
      </w:r>
      <w:r w:rsidRPr="003907AC">
        <w:rPr>
          <w:rFonts w:eastAsia="Arial"/>
        </w:rPr>
        <w:t>, and the use of market notices.</w:t>
      </w:r>
    </w:p>
    <w:p w14:paraId="4AAB125A" w14:textId="77777777" w:rsidR="00DD2A1D" w:rsidRPr="003907AC" w:rsidRDefault="679868F5" w:rsidP="003C47B0">
      <w:pPr>
        <w:pStyle w:val="BodyText"/>
      </w:pPr>
      <w:r w:rsidRPr="003907AC">
        <w:rPr>
          <w:rFonts w:eastAsia="Arial"/>
        </w:rPr>
        <w:t>AEMO must ensure that flows of gas into distribution networks and interconnecting pipelines are adequate to meet demand and maintain minimum pressures in distribution networks. Where there is a threat to or breach of system security, AEMO may give directions to ‘curtail’</w:t>
      </w:r>
      <w:r w:rsidR="00DD2A1D" w:rsidRPr="7EA0B018">
        <w:rPr>
          <w:rStyle w:val="FootnoteReference"/>
          <w:rFonts w:eastAsia="Arial"/>
        </w:rPr>
        <w:footnoteReference w:id="4"/>
      </w:r>
      <w:r w:rsidRPr="003907AC">
        <w:rPr>
          <w:rFonts w:eastAsia="Arial"/>
        </w:rPr>
        <w:t xml:space="preserve"> gas load. </w:t>
      </w:r>
    </w:p>
    <w:p w14:paraId="2FE9FB1E" w14:textId="56E5FE84" w:rsidR="15EC7667" w:rsidRDefault="15EC7667" w:rsidP="7EA0B018">
      <w:pPr>
        <w:pStyle w:val="BodyText"/>
        <w:rPr>
          <w:rFonts w:ascii="Arial" w:hAnsi="Arial"/>
        </w:rPr>
      </w:pPr>
      <w:r w:rsidRPr="7EA0B018">
        <w:rPr>
          <w:rFonts w:ascii="Arial" w:hAnsi="Arial"/>
        </w:rPr>
        <w:t xml:space="preserve">AEMO provides planning and forecasting information to support efficient decision-making and long-term investment in Australia's gas markets and infrastructure services. AEMO also publish the Victorian Gas Planning Report which informs market participants and government about gas transmission capacity changes that impact security and reliability in the Victorian Gas Declared Transmission System (DTS). AEMO runs year-round, 24-hour operations of the DTS to ensure its safe and effective </w:t>
      </w:r>
      <w:proofErr w:type="gramStart"/>
      <w:r w:rsidRPr="7EA0B018">
        <w:rPr>
          <w:rFonts w:ascii="Arial" w:hAnsi="Arial"/>
        </w:rPr>
        <w:t>operation, and</w:t>
      </w:r>
      <w:proofErr w:type="gramEnd"/>
      <w:r w:rsidRPr="7EA0B018">
        <w:rPr>
          <w:rFonts w:ascii="Arial" w:hAnsi="Arial"/>
        </w:rPr>
        <w:t xml:space="preserve"> schedules the Victorian Declared Wholesale Gas Market (DWGM).</w:t>
      </w:r>
    </w:p>
    <w:p w14:paraId="7A5023AE" w14:textId="38C3E65F" w:rsidR="15EC7667" w:rsidRDefault="15EC7667" w:rsidP="7EA0B018">
      <w:pPr>
        <w:pStyle w:val="BodyText"/>
        <w:rPr>
          <w:rFonts w:ascii="Arial" w:hAnsi="Arial"/>
        </w:rPr>
      </w:pPr>
      <w:r w:rsidRPr="7EA0B018">
        <w:rPr>
          <w:rFonts w:ascii="Arial" w:hAnsi="Arial"/>
        </w:rPr>
        <w:t>Gas pipeline operators, storage, distributors, and producers operate and constantly monitoring their equipment and systems to ensure safe and effective operations.</w:t>
      </w:r>
    </w:p>
    <w:p w14:paraId="2D058E6A" w14:textId="45BC0833" w:rsidR="15EC7667" w:rsidRDefault="15EC7667" w:rsidP="7EA0B018">
      <w:pPr>
        <w:pStyle w:val="BodyText"/>
        <w:rPr>
          <w:rFonts w:ascii="Arial" w:hAnsi="Arial"/>
        </w:rPr>
      </w:pPr>
      <w:r w:rsidRPr="7EA0B018">
        <w:rPr>
          <w:rFonts w:ascii="Arial" w:hAnsi="Arial"/>
        </w:rPr>
        <w:t xml:space="preserve">Stocks and usage of liquid fuels are regularly monitored by liquid fuel companies who report regularly to the Commonwealth Government, advising of stocks of a range of commonly used liquid fuels, and current sales statistics. The Commonwealth Government collates and publishes these statistics monthly. Liquid fuel pipeline, storage, distributors, and refineries are constantly monitoring their systems to ensure safe and effective operations. </w:t>
      </w:r>
    </w:p>
    <w:p w14:paraId="1FEBE34F" w14:textId="77777777" w:rsidR="00DD2A1D" w:rsidRPr="003907AC" w:rsidRDefault="00DD2A1D" w:rsidP="003C47B0">
      <w:pPr>
        <w:pStyle w:val="BodyText"/>
      </w:pPr>
      <w:r w:rsidRPr="059E8A36">
        <w:rPr>
          <w:rFonts w:eastAsia="Arial"/>
        </w:rPr>
        <w:t>AEMO</w:t>
      </w:r>
      <w:r w:rsidRPr="2744F5CB">
        <w:rPr>
          <w:rFonts w:eastAsia="Arial"/>
        </w:rPr>
        <w:t xml:space="preserve"> will</w:t>
      </w:r>
      <w:r w:rsidRPr="059E8A36">
        <w:rPr>
          <w:rFonts w:eastAsia="Arial"/>
        </w:rPr>
        <w:t xml:space="preserve"> </w:t>
      </w:r>
      <w:r w:rsidRPr="71F697D4">
        <w:rPr>
          <w:rFonts w:eastAsia="Arial"/>
        </w:rPr>
        <w:t>issue</w:t>
      </w:r>
      <w:r w:rsidRPr="059E8A36">
        <w:rPr>
          <w:rFonts w:eastAsia="Arial"/>
        </w:rPr>
        <w:t xml:space="preserve"> curtailment directions to market participants, market customers and gas retailers, who will </w:t>
      </w:r>
      <w:r w:rsidRPr="016416B9">
        <w:rPr>
          <w:rFonts w:eastAsia="Arial"/>
        </w:rPr>
        <w:t xml:space="preserve">then </w:t>
      </w:r>
      <w:r w:rsidRPr="059E8A36">
        <w:rPr>
          <w:rFonts w:eastAsia="Arial"/>
        </w:rPr>
        <w:t>be directed to instruct their customers to limit gas usage. Curtailment directions are only issued as a last resort after due consideration of alternative sources of gas supply and are limited to the extent required to maintain or restore system security.</w:t>
      </w:r>
    </w:p>
    <w:p w14:paraId="377C14A8" w14:textId="77777777" w:rsidR="00DD2A1D" w:rsidRPr="003907AC" w:rsidRDefault="00DD2A1D" w:rsidP="003C47B0">
      <w:pPr>
        <w:pStyle w:val="BodyText"/>
      </w:pPr>
      <w:r w:rsidRPr="003907AC">
        <w:rPr>
          <w:rFonts w:eastAsia="Arial"/>
        </w:rPr>
        <w:t xml:space="preserve">The Gas Industry Act, Gas Safety Act and </w:t>
      </w:r>
      <w:r w:rsidRPr="003907AC">
        <w:rPr>
          <w:rFonts w:eastAsia="Arial"/>
          <w:i/>
        </w:rPr>
        <w:t>Pipelines Act 2005</w:t>
      </w:r>
      <w:r w:rsidRPr="003907AC">
        <w:rPr>
          <w:rFonts w:eastAsia="Arial"/>
        </w:rPr>
        <w:t xml:space="preserve"> provide powers to Energy Safety Victoria and the Minister for Energy, Environment and Climate Change (or delegate) in relation to emergencies, </w:t>
      </w:r>
      <w:proofErr w:type="gramStart"/>
      <w:r w:rsidRPr="003907AC">
        <w:rPr>
          <w:rFonts w:eastAsia="Arial"/>
        </w:rPr>
        <w:t>safety</w:t>
      </w:r>
      <w:proofErr w:type="gramEnd"/>
      <w:r w:rsidRPr="003907AC">
        <w:rPr>
          <w:rFonts w:eastAsia="Arial"/>
        </w:rPr>
        <w:t xml:space="preserve"> and other regulatory obligations.</w:t>
      </w:r>
    </w:p>
    <w:p w14:paraId="2E314B65" w14:textId="2CD5C205" w:rsidR="00DD2A1D" w:rsidRPr="003907AC" w:rsidRDefault="00DD2A1D" w:rsidP="003C47B0">
      <w:pPr>
        <w:pStyle w:val="BodyText"/>
      </w:pPr>
      <w:r w:rsidRPr="003907AC">
        <w:rPr>
          <w:rFonts w:eastAsia="Arial"/>
        </w:rPr>
        <w:t xml:space="preserve">Under the Gas Industry Act, </w:t>
      </w:r>
      <w:r w:rsidR="00DD3860">
        <w:rPr>
          <w:rFonts w:eastAsia="Arial"/>
        </w:rPr>
        <w:t>t</w:t>
      </w:r>
      <w:r w:rsidR="00DD3860" w:rsidRPr="003907AC">
        <w:rPr>
          <w:rFonts w:eastAsia="Arial"/>
        </w:rPr>
        <w:t xml:space="preserve">he </w:t>
      </w:r>
      <w:r w:rsidRPr="003907AC">
        <w:rPr>
          <w:rFonts w:eastAsia="Arial"/>
        </w:rPr>
        <w:t xml:space="preserve">Governor in Council may, on the advice of the Minister, proclaim a gas supply emergency if the available supply of gas is or is likely to become less than is sufficient for the reasonable requirements of the community. </w:t>
      </w:r>
    </w:p>
    <w:p w14:paraId="5434D83C" w14:textId="77777777" w:rsidR="000202A9" w:rsidRDefault="00DD2A1D" w:rsidP="003C47B0">
      <w:pPr>
        <w:pStyle w:val="BodyText"/>
        <w:rPr>
          <w:rFonts w:eastAsia="Arial"/>
        </w:rPr>
      </w:pPr>
      <w:r w:rsidRPr="003907AC">
        <w:rPr>
          <w:rFonts w:eastAsia="Arial"/>
        </w:rPr>
        <w:t>Under the Act, and while a proclamation is in force, the Minister may give any directions necessary to</w:t>
      </w:r>
      <w:r w:rsidR="000202A9">
        <w:rPr>
          <w:rFonts w:eastAsia="Arial"/>
        </w:rPr>
        <w:t>:</w:t>
      </w:r>
    </w:p>
    <w:p w14:paraId="7997CA83" w14:textId="3DFF80A0" w:rsidR="000202A9" w:rsidRDefault="679868F5" w:rsidP="003C47B0">
      <w:pPr>
        <w:pStyle w:val="BodyText"/>
        <w:rPr>
          <w:rFonts w:eastAsia="Arial"/>
        </w:rPr>
      </w:pPr>
      <w:r w:rsidRPr="7EA0B018">
        <w:rPr>
          <w:rFonts w:eastAsia="Arial"/>
        </w:rPr>
        <w:t>(a) ensure the safe and s</w:t>
      </w:r>
      <w:r w:rsidR="5C759650" w:rsidRPr="7EA0B018">
        <w:rPr>
          <w:rFonts w:eastAsia="Arial"/>
        </w:rPr>
        <w:t>ecure</w:t>
      </w:r>
      <w:r w:rsidRPr="7EA0B018">
        <w:rPr>
          <w:rFonts w:eastAsia="Arial"/>
        </w:rPr>
        <w:t xml:space="preserve"> supply of gas; or</w:t>
      </w:r>
    </w:p>
    <w:p w14:paraId="34263DC8" w14:textId="3605BBCD" w:rsidR="00DD2A1D" w:rsidRPr="0042457C" w:rsidRDefault="00DD2A1D" w:rsidP="003C47B0">
      <w:pPr>
        <w:pStyle w:val="BodyText"/>
        <w:rPr>
          <w:rFonts w:eastAsia="Arial"/>
        </w:rPr>
      </w:pPr>
      <w:r w:rsidRPr="003907AC">
        <w:rPr>
          <w:rFonts w:eastAsia="Arial"/>
        </w:rPr>
        <w:t>(b) to regulate the use of the available supply of gas.</w:t>
      </w:r>
    </w:p>
    <w:p w14:paraId="3A1CDE33" w14:textId="77777777" w:rsidR="00DD2A1D" w:rsidRPr="003907AC" w:rsidRDefault="00DD2A1D" w:rsidP="003C47B0">
      <w:pPr>
        <w:pStyle w:val="BodyText"/>
      </w:pPr>
      <w:r>
        <w:rPr>
          <w:rFonts w:eastAsia="Arial"/>
        </w:rPr>
        <w:lastRenderedPageBreak/>
        <w:t xml:space="preserve">Decisions about which intervention, direction, or powers are best utilised for the management of a gas emergency will be supported by the Gas Emergency Management Group (see </w:t>
      </w:r>
      <w:r w:rsidRPr="00D942AC">
        <w:rPr>
          <w:rFonts w:eastAsia="Arial"/>
          <w:b/>
          <w:bCs/>
        </w:rPr>
        <w:t>Appendix B</w:t>
      </w:r>
      <w:r>
        <w:rPr>
          <w:rFonts w:eastAsia="Arial"/>
        </w:rPr>
        <w:t>).</w:t>
      </w:r>
    </w:p>
    <w:p w14:paraId="00851B61" w14:textId="77777777" w:rsidR="00DD2A1D" w:rsidRPr="003907AC" w:rsidRDefault="00DD2A1D" w:rsidP="00DD2A1D">
      <w:pPr>
        <w:pStyle w:val="Heading3"/>
      </w:pPr>
      <w:bookmarkStart w:id="1497" w:name="_Toc82274523"/>
      <w:bookmarkStart w:id="1498" w:name="_Toc82350805"/>
      <w:bookmarkStart w:id="1499" w:name="_Toc94013202"/>
      <w:r w:rsidRPr="003907AC">
        <w:t>Liquid fuel</w:t>
      </w:r>
      <w:bookmarkEnd w:id="1497"/>
      <w:r w:rsidRPr="003907AC">
        <w:t>s</w:t>
      </w:r>
      <w:bookmarkEnd w:id="1498"/>
      <w:bookmarkEnd w:id="1499"/>
    </w:p>
    <w:p w14:paraId="0D780B58" w14:textId="77777777" w:rsidR="00DD2A1D" w:rsidRPr="003907AC" w:rsidRDefault="00DD2A1D" w:rsidP="003C47B0">
      <w:pPr>
        <w:pStyle w:val="BodyText"/>
      </w:pPr>
      <w:r>
        <w:t xml:space="preserve">A range of government and industry response mechanisms to manage liquid fuel disruptions are available, depending on the duration and extent of the disruption. In the absence of major emergency, the policy of the Victorian Government is to allow the liquid fuel industry, </w:t>
      </w:r>
      <w:proofErr w:type="gramStart"/>
      <w:r>
        <w:t>customers</w:t>
      </w:r>
      <w:proofErr w:type="gramEnd"/>
      <w:r>
        <w:t xml:space="preserve"> and consumers to manage the fuel supply and demand balance without government intervention.</w:t>
      </w:r>
    </w:p>
    <w:p w14:paraId="5157DDCD" w14:textId="77777777" w:rsidR="00DD2A1D" w:rsidRPr="003907AC" w:rsidRDefault="00DD2A1D" w:rsidP="003C47B0">
      <w:pPr>
        <w:pStyle w:val="BodyText"/>
      </w:pPr>
      <w:r>
        <w:t>Industry uses a variety of production, supply chain management and pricing mechanisms to manage supply and demand and respond to potential and actual fuel supply issues.</w:t>
      </w:r>
    </w:p>
    <w:p w14:paraId="32E4D49B" w14:textId="77777777" w:rsidR="00DD2A1D" w:rsidRPr="003907AC" w:rsidRDefault="00DD2A1D" w:rsidP="003C47B0">
      <w:pPr>
        <w:pStyle w:val="BodyText"/>
      </w:pPr>
      <w:r>
        <w:t>More direct response measures include voluntary demand reduction communications or the implementation of a retail rationing scheme using either Commonwealth or Victorian legislation. Use of emergency legislative powers is considered as a process of last resort.</w:t>
      </w:r>
    </w:p>
    <w:p w14:paraId="0FBD1946" w14:textId="77777777" w:rsidR="00DD2A1D" w:rsidRPr="003907AC" w:rsidRDefault="00DD2A1D" w:rsidP="003C47B0">
      <w:pPr>
        <w:pStyle w:val="BodyText"/>
      </w:pPr>
      <w:r w:rsidRPr="003907AC">
        <w:t xml:space="preserve">The </w:t>
      </w:r>
      <w:r w:rsidRPr="003907AC">
        <w:rPr>
          <w:i/>
          <w:iCs/>
        </w:rPr>
        <w:t>Fuel Emergency Act 1977 (Vic)</w:t>
      </w:r>
      <w:r w:rsidRPr="003907AC">
        <w:t xml:space="preserve"> provides for a proclamation that a state of emergency exists when the Governor in Council is satisfied that an event has occurred or is imminent “whereby any kind of fuel is or is likely to become unavailable to meet the reasonable requirements of the community”. During a period of emergency, the </w:t>
      </w:r>
      <w:r w:rsidRPr="003907AC">
        <w:rPr>
          <w:rFonts w:eastAsia="Arial"/>
        </w:rPr>
        <w:t xml:space="preserve">Minister for Energy, Environment and Climate Change </w:t>
      </w:r>
      <w:r w:rsidRPr="003907AC">
        <w:t>can “regulate and direct any service” relating to the production, supply, distribution, sale, use or consumption of fuel.</w:t>
      </w:r>
    </w:p>
    <w:p w14:paraId="647F5989" w14:textId="77777777" w:rsidR="00DD2A1D" w:rsidRPr="003907AC" w:rsidRDefault="00DD2A1D" w:rsidP="003C47B0">
      <w:pPr>
        <w:pStyle w:val="BodyText"/>
      </w:pPr>
      <w:r>
        <w:t xml:space="preserve">Under the </w:t>
      </w:r>
      <w:r w:rsidRPr="70E080EC">
        <w:rPr>
          <w:i/>
          <w:iCs/>
        </w:rPr>
        <w:t>Liquid Fuel Emergency Act 1984 (</w:t>
      </w:r>
      <w:proofErr w:type="spellStart"/>
      <w:r w:rsidRPr="70E080EC">
        <w:rPr>
          <w:i/>
          <w:iCs/>
        </w:rPr>
        <w:t>Cth</w:t>
      </w:r>
      <w:proofErr w:type="spellEnd"/>
      <w:r w:rsidRPr="70E080EC">
        <w:rPr>
          <w:i/>
          <w:iCs/>
        </w:rPr>
        <w:t>)</w:t>
      </w:r>
      <w:r>
        <w:t xml:space="preserve"> the Governor General may declare a national liquid fuel emergency in the event of an actual or likely national fuel shortage. Victoria must be consulted alongside all the other states and territories before a declaration is made. The Liquid Fuel Emergency Act gives the </w:t>
      </w:r>
      <w:bookmarkStart w:id="1500" w:name="_Int_Oj4dsfna"/>
      <w:proofErr w:type="gramStart"/>
      <w:r>
        <w:t>Commonwealth Minister</w:t>
      </w:r>
      <w:bookmarkEnd w:id="1500"/>
      <w:proofErr w:type="gramEnd"/>
      <w:r>
        <w:t xml:space="preserve"> for the Industry, Energy and Emissions Reduction powers in an emergency to control industry held stocks of crude oil and liquid fuels produced by Australian refineries, and fuel sales across Australia.</w:t>
      </w:r>
    </w:p>
    <w:p w14:paraId="31B94C78" w14:textId="5F881A68" w:rsidR="00DD2A1D" w:rsidRPr="003907AC" w:rsidRDefault="19C60FA6" w:rsidP="003C47B0">
      <w:pPr>
        <w:pStyle w:val="BodyText"/>
      </w:pPr>
      <w:r>
        <w:t xml:space="preserve">During a national liquid fuel emergency, Victoria aligns its approach, including for prioritising essential users, with the national approach.[1] Essential users are defined in the Liquid Fuel Emergency Act and the Commonwealth’s Essential Users Determination 2019. </w:t>
      </w:r>
    </w:p>
    <w:p w14:paraId="049AC513" w14:textId="2CF64E24" w:rsidR="00DD2A1D" w:rsidRPr="003907AC" w:rsidRDefault="19C60FA6" w:rsidP="003C47B0">
      <w:pPr>
        <w:pStyle w:val="BodyText"/>
      </w:pPr>
      <w:r>
        <w:t>[1] Prioritisation of essential users does not mean that there will be no fuel available for other users. Essential users typically represent only a relatively small portion of overall fuel demand. It is anticipated that under most scenarios, other users will still be able to access some fuel, albeit at reduced quantities. Business continuity planning by entities not included under the Determination should take this into account.</w:t>
      </w:r>
    </w:p>
    <w:p w14:paraId="40871762" w14:textId="77777777" w:rsidR="00DD2A1D" w:rsidRPr="003907AC" w:rsidRDefault="00DD2A1D" w:rsidP="00DD2A1D">
      <w:pPr>
        <w:pStyle w:val="Heading2"/>
      </w:pPr>
      <w:bookmarkStart w:id="1501" w:name="_Toc82274512"/>
      <w:bookmarkStart w:id="1502" w:name="_Toc82350807"/>
      <w:bookmarkStart w:id="1503" w:name="_Toc90319421"/>
      <w:bookmarkStart w:id="1504" w:name="_Toc1835132660"/>
      <w:bookmarkStart w:id="1505" w:name="_Toc420305414"/>
      <w:bookmarkStart w:id="1506" w:name="_Toc76710590"/>
      <w:bookmarkStart w:id="1507" w:name="_Toc1051662766"/>
      <w:bookmarkStart w:id="1508" w:name="_Toc1276283926"/>
      <w:bookmarkStart w:id="1509" w:name="_Toc1805563612"/>
      <w:bookmarkStart w:id="1510" w:name="_Toc1226902702"/>
      <w:bookmarkStart w:id="1511" w:name="_Toc255797960"/>
      <w:bookmarkStart w:id="1512" w:name="_Toc1584306958"/>
      <w:bookmarkStart w:id="1513" w:name="_Toc179269339"/>
      <w:bookmarkStart w:id="1514" w:name="_Toc1945340131"/>
      <w:bookmarkStart w:id="1515" w:name="_Toc192191980"/>
      <w:bookmarkStart w:id="1516" w:name="_Toc1636013357"/>
      <w:bookmarkStart w:id="1517" w:name="_Toc1730537540"/>
      <w:bookmarkStart w:id="1518" w:name="_Toc1946893113"/>
      <w:bookmarkStart w:id="1519" w:name="_Toc411661216"/>
      <w:bookmarkStart w:id="1520" w:name="_Toc1957633065"/>
      <w:bookmarkStart w:id="1521" w:name="_Toc557835653"/>
      <w:bookmarkStart w:id="1522" w:name="_Toc626642598"/>
      <w:bookmarkStart w:id="1523" w:name="_Toc890997636"/>
      <w:bookmarkStart w:id="1524" w:name="_Toc355045608"/>
      <w:bookmarkStart w:id="1525" w:name="_Toc1748971381"/>
      <w:bookmarkStart w:id="1526" w:name="_Toc775195933"/>
      <w:bookmarkStart w:id="1527" w:name="_Toc899899280"/>
      <w:bookmarkStart w:id="1528" w:name="_Toc485282245"/>
      <w:bookmarkStart w:id="1529" w:name="_Toc1775502572"/>
      <w:bookmarkStart w:id="1530" w:name="_Toc1743657825"/>
      <w:bookmarkStart w:id="1531" w:name="_Toc20000365"/>
      <w:bookmarkStart w:id="1532" w:name="_Toc274956985"/>
      <w:bookmarkStart w:id="1533" w:name="_Toc1756078518"/>
      <w:bookmarkStart w:id="1534" w:name="_Toc257644181"/>
      <w:bookmarkStart w:id="1535" w:name="_Toc1734871510"/>
      <w:bookmarkStart w:id="1536" w:name="_Toc1731202969"/>
      <w:bookmarkStart w:id="1537" w:name="_Toc2006478179"/>
      <w:bookmarkStart w:id="1538" w:name="_Toc1721090370"/>
      <w:bookmarkStart w:id="1539" w:name="_Toc898614013"/>
      <w:bookmarkStart w:id="1540" w:name="_Toc1765539752"/>
      <w:bookmarkStart w:id="1541" w:name="_Toc1614033932"/>
      <w:bookmarkStart w:id="1542" w:name="_Toc987556195"/>
      <w:bookmarkStart w:id="1543" w:name="_Toc1065095248"/>
      <w:bookmarkStart w:id="1544" w:name="_Toc831348490"/>
      <w:bookmarkStart w:id="1545" w:name="_Toc1914388370"/>
      <w:bookmarkStart w:id="1546" w:name="_Toc486207715"/>
      <w:bookmarkStart w:id="1547" w:name="_Toc1252986039"/>
      <w:bookmarkStart w:id="1548" w:name="_Toc1185093415"/>
      <w:bookmarkStart w:id="1549" w:name="_Ref92436239"/>
      <w:bookmarkStart w:id="1550" w:name="_Ref92438490"/>
      <w:bookmarkStart w:id="1551" w:name="_Toc94013203"/>
      <w:bookmarkEnd w:id="802"/>
      <w:bookmarkEnd w:id="910"/>
      <w:bookmarkEnd w:id="1483"/>
      <w:bookmarkEnd w:id="1484"/>
      <w:r>
        <w:t>Public Information</w:t>
      </w:r>
      <w:bookmarkEnd w:id="1501"/>
      <w:r>
        <w:t xml:space="preserve"> and warnings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5308504A" w14:textId="41BF2046" w:rsidR="00DD2A1D" w:rsidRPr="003907AC" w:rsidRDefault="00DD2A1D" w:rsidP="00B631FB">
      <w:pPr>
        <w:pStyle w:val="BodyText"/>
      </w:pPr>
      <w:r w:rsidRPr="003907AC">
        <w:rPr>
          <w:rFonts w:eastAsia="Arial"/>
        </w:rPr>
        <w:t xml:space="preserve">Public information and warnings ensure that the community has the information it needs to make informed choices about their safety and to take responsibility for their own recovery. </w:t>
      </w:r>
      <w:r>
        <w:br/>
      </w:r>
      <w:r w:rsidR="18DDC092" w:rsidRPr="32CC0482">
        <w:rPr>
          <w:rFonts w:eastAsia="Arial"/>
        </w:rPr>
        <w:t>Under the SEMP</w:t>
      </w:r>
      <w:r w:rsidR="18DDC092" w:rsidRPr="00B631FB">
        <w:rPr>
          <w:rFonts w:eastAsia="Arial"/>
        </w:rPr>
        <w:t xml:space="preserve">, the Emergency Management Commissioner must ensure that warnings are issued. Victoria has an integrated warning system which provides information and warnings to community through a range of channels.  </w:t>
      </w:r>
    </w:p>
    <w:p w14:paraId="5E3F24C0" w14:textId="693AAB59" w:rsidR="00B631FB" w:rsidRPr="00B631FB" w:rsidRDefault="18DDC092" w:rsidP="00B631FB">
      <w:pPr>
        <w:pStyle w:val="BodyText"/>
        <w:rPr>
          <w:rFonts w:eastAsia="Arial"/>
        </w:rPr>
      </w:pPr>
      <w:r w:rsidRPr="00B631FB">
        <w:rPr>
          <w:rFonts w:eastAsia="Arial"/>
        </w:rPr>
        <w:t>The Emergency Management Commissioner works with DELWP to develop appropriate communication and engagement plans in relation to Class 2 energy emergencies.</w:t>
      </w:r>
      <w:r w:rsidR="00B631FB">
        <w:rPr>
          <w:rFonts w:eastAsia="Arial"/>
        </w:rPr>
        <w:t xml:space="preserve"> </w:t>
      </w:r>
    </w:p>
    <w:p w14:paraId="0DD2045F" w14:textId="0AD28D32" w:rsidR="00DD2A1D" w:rsidRPr="003907AC" w:rsidRDefault="18DDC092" w:rsidP="003C47B0">
      <w:pPr>
        <w:pStyle w:val="BodyText"/>
      </w:pPr>
      <w:r w:rsidRPr="00B631FB">
        <w:rPr>
          <w:rFonts w:eastAsia="Arial"/>
        </w:rPr>
        <w:t xml:space="preserve">The </w:t>
      </w:r>
      <w:r w:rsidR="0069185F" w:rsidRPr="00B631FB">
        <w:rPr>
          <w:rFonts w:eastAsia="Arial"/>
        </w:rPr>
        <w:t>Secretary, or State Controller – Energy,</w:t>
      </w:r>
      <w:r w:rsidRPr="00B631FB">
        <w:rPr>
          <w:rFonts w:eastAsia="Arial"/>
        </w:rPr>
        <w:t xml:space="preserve"> may seek support from the Emergency Management Joint Public Information</w:t>
      </w:r>
      <w:r w:rsidRPr="32CC0482">
        <w:rPr>
          <w:rFonts w:eastAsia="Arial"/>
        </w:rPr>
        <w:t xml:space="preserve"> Committee (EMJPIC) to ensure state level messages from all agencies involved in the management of emergency response, recovery and the consequences of an emergency are included in the key messages to the public.</w:t>
      </w:r>
    </w:p>
    <w:p w14:paraId="4CFE7B4A" w14:textId="77777777" w:rsidR="00DD2A1D" w:rsidRPr="003907AC" w:rsidRDefault="00DD2A1D" w:rsidP="00DD2A1D">
      <w:pPr>
        <w:pStyle w:val="Heading3"/>
      </w:pPr>
      <w:bookmarkStart w:id="1552" w:name="_Toc82350808"/>
      <w:bookmarkStart w:id="1553" w:name="_Toc94013204"/>
      <w:r w:rsidRPr="003907AC">
        <w:t>Complementary energy emergency advice and messaging</w:t>
      </w:r>
      <w:bookmarkEnd w:id="1552"/>
      <w:bookmarkEnd w:id="1553"/>
    </w:p>
    <w:p w14:paraId="59CCAA5C" w14:textId="77777777" w:rsidR="00DD2A1D" w:rsidRPr="003907AC" w:rsidRDefault="00DD2A1D" w:rsidP="003C47B0">
      <w:pPr>
        <w:pStyle w:val="BodyText"/>
      </w:pPr>
      <w:r>
        <w:t xml:space="preserve">DELWP uses a suite of pre-prepared communication materials in response to forecasts and events with a risk of energy supply disruption – for example bushfires, </w:t>
      </w:r>
      <w:proofErr w:type="gramStart"/>
      <w:r>
        <w:t>heatwave</w:t>
      </w:r>
      <w:proofErr w:type="gramEnd"/>
      <w:r>
        <w:t xml:space="preserve"> and storms.  </w:t>
      </w:r>
      <w:r>
        <w:lastRenderedPageBreak/>
        <w:t xml:space="preserve">The aim of this communication is to support industry to reduce electricity and gas consumption prior to supply shortfalls and advise the community about temporary changes to supply during incidents.  </w:t>
      </w:r>
    </w:p>
    <w:p w14:paraId="1BB07B84" w14:textId="77777777" w:rsidR="00DD2A1D" w:rsidRPr="003907AC" w:rsidRDefault="00DD2A1D" w:rsidP="003C47B0">
      <w:pPr>
        <w:pStyle w:val="BodyText"/>
      </w:pPr>
      <w:r w:rsidRPr="003907AC">
        <w:t xml:space="preserve">DELWP also delivers a broad public information campaign to educate Victorians prior to summer about how severe weather events can lead to unplanned outages and the importance of reducing electricity consumption during instances when power infrastructure may be under extreme pressure, and to mitigate the risk of load shedding events.  </w:t>
      </w:r>
    </w:p>
    <w:p w14:paraId="5C7F469A" w14:textId="77777777" w:rsidR="00DD2A1D" w:rsidRPr="003907AC" w:rsidRDefault="00DD2A1D" w:rsidP="003C47B0">
      <w:pPr>
        <w:pStyle w:val="BodyText"/>
      </w:pPr>
      <w:r w:rsidRPr="003907AC">
        <w:t>The goal of these education campaigns is that Victorians proactively reduce energy consumption on hot days or in heatwave events and that vulnerable Victorians proactively seek support or are supported during load shedding events and power outages.</w:t>
      </w:r>
    </w:p>
    <w:p w14:paraId="19C45F02" w14:textId="77777777" w:rsidR="00DD2A1D" w:rsidRPr="003907AC" w:rsidRDefault="00DD2A1D" w:rsidP="00DD2A1D">
      <w:pPr>
        <w:pStyle w:val="Heading3"/>
      </w:pPr>
      <w:bookmarkStart w:id="1554" w:name="_Toc82350809"/>
      <w:bookmarkStart w:id="1555" w:name="_Toc94013205"/>
      <w:r w:rsidRPr="003907AC">
        <w:t>Industry communications</w:t>
      </w:r>
      <w:bookmarkEnd w:id="1554"/>
      <w:bookmarkEnd w:id="1555"/>
    </w:p>
    <w:p w14:paraId="1D7D9A22" w14:textId="1C97C6B1" w:rsidR="00DD2A1D" w:rsidRPr="003907AC" w:rsidRDefault="00DD2A1D" w:rsidP="003C47B0">
      <w:pPr>
        <w:pStyle w:val="BodyText"/>
      </w:pPr>
      <w:r w:rsidRPr="003907AC">
        <w:t xml:space="preserve">Under the Electricity Distribution Code, distribution businesses are required to issue information to customers </w:t>
      </w:r>
      <w:r w:rsidR="00FE67EB">
        <w:t xml:space="preserve">about </w:t>
      </w:r>
      <w:r w:rsidRPr="003907AC">
        <w:t xml:space="preserve">power outages and expected restoration times across their area, within a set time frame, particularly power dependent customers. </w:t>
      </w:r>
    </w:p>
    <w:p w14:paraId="768ECBFC" w14:textId="77777777" w:rsidR="00DD2A1D" w:rsidRPr="006D70B9" w:rsidRDefault="00DD2A1D" w:rsidP="003C47B0">
      <w:pPr>
        <w:pStyle w:val="BodyText"/>
      </w:pPr>
      <w:r w:rsidRPr="006D70B9">
        <w:t xml:space="preserve">The Single Industry Spokesperson Protocol for Electricity in Victoria (2019) (SISP) is designed to ensure media, customers and the </w:t>
      </w:r>
      <w:proofErr w:type="gramStart"/>
      <w:r w:rsidRPr="006D70B9">
        <w:t>general public</w:t>
      </w:r>
      <w:proofErr w:type="gramEnd"/>
      <w:r w:rsidRPr="006D70B9">
        <w:t xml:space="preserve"> receive coordinated and timely communication on agreed key messages that give clear advice about the status of a widespread electricity emergency.</w:t>
      </w:r>
    </w:p>
    <w:p w14:paraId="5F34873E" w14:textId="5FB87C41" w:rsidR="00DD2A1D" w:rsidRPr="006D70B9" w:rsidRDefault="679868F5" w:rsidP="003C47B0">
      <w:pPr>
        <w:pStyle w:val="BodyText"/>
      </w:pPr>
      <w:bookmarkStart w:id="1556" w:name="_Toc82274515"/>
      <w:r>
        <w:t xml:space="preserve">The Single Industry Spokesperson Protocol (2019) for gas emergencies (SISP – Gas) is an agreement made between government and industry. Under the SISP – Gas AEMO will speak on behalf of the Victorian gas supply industry during widespread and prolonged gas shortages.  </w:t>
      </w:r>
      <w:r w:rsidR="533B1D32">
        <w:t>The SISP only activates for major gas emergencies of Level 4 and above.</w:t>
      </w:r>
    </w:p>
    <w:p w14:paraId="7D3549BC" w14:textId="77777777" w:rsidR="00DD2A1D" w:rsidRPr="003907AC" w:rsidRDefault="00DD2A1D" w:rsidP="003C47B0">
      <w:pPr>
        <w:pStyle w:val="BodyText"/>
      </w:pPr>
      <w:bookmarkStart w:id="1557" w:name="_Toc82350810"/>
      <w:r w:rsidRPr="006D70B9">
        <w:t>The Australian Institute of Petroleum (AIP) Communications Protocol on major fuel supply situations or disruptions is a framework for notifications, reporting and</w:t>
      </w:r>
      <w:r w:rsidRPr="003907AC">
        <w:t xml:space="preserve"> coordination of emergency response between and industry and the Victorian Government. The protocol is activated, as soon as practicable, if a known fuel supply situation is or will likely have visible implications for fuel users in Victoria.</w:t>
      </w:r>
    </w:p>
    <w:p w14:paraId="005AA6F0" w14:textId="77777777" w:rsidR="00DD2A1D" w:rsidRPr="003907AC" w:rsidRDefault="00DD2A1D" w:rsidP="00DD2A1D">
      <w:pPr>
        <w:pStyle w:val="Heading2"/>
      </w:pPr>
      <w:bookmarkStart w:id="1558" w:name="_Toc90319422"/>
      <w:bookmarkStart w:id="1559" w:name="_Toc152555367"/>
      <w:bookmarkStart w:id="1560" w:name="_Toc1047877273"/>
      <w:bookmarkStart w:id="1561" w:name="_Toc628791898"/>
      <w:bookmarkStart w:id="1562" w:name="_Toc1435080758"/>
      <w:bookmarkStart w:id="1563" w:name="_Toc531193964"/>
      <w:bookmarkStart w:id="1564" w:name="_Toc687909424"/>
      <w:bookmarkStart w:id="1565" w:name="_Toc72755981"/>
      <w:bookmarkStart w:id="1566" w:name="_Toc833812598"/>
      <w:bookmarkStart w:id="1567" w:name="_Toc689501041"/>
      <w:bookmarkStart w:id="1568" w:name="_Toc853438433"/>
      <w:bookmarkStart w:id="1569" w:name="_Toc362700720"/>
      <w:bookmarkStart w:id="1570" w:name="_Toc1312930094"/>
      <w:bookmarkStart w:id="1571" w:name="_Toc1169824477"/>
      <w:bookmarkStart w:id="1572" w:name="_Toc568686307"/>
      <w:bookmarkStart w:id="1573" w:name="_Toc588433956"/>
      <w:bookmarkStart w:id="1574" w:name="_Toc948408156"/>
      <w:bookmarkStart w:id="1575" w:name="_Toc1051456990"/>
      <w:bookmarkStart w:id="1576" w:name="_Toc2067123318"/>
      <w:bookmarkStart w:id="1577" w:name="_Toc1917550498"/>
      <w:bookmarkStart w:id="1578" w:name="_Toc1331509918"/>
      <w:bookmarkStart w:id="1579" w:name="_Toc680943684"/>
      <w:bookmarkStart w:id="1580" w:name="_Toc1616568812"/>
      <w:bookmarkStart w:id="1581" w:name="_Toc1209809832"/>
      <w:bookmarkStart w:id="1582" w:name="_Toc920101009"/>
      <w:bookmarkStart w:id="1583" w:name="_Toc1335625886"/>
      <w:bookmarkStart w:id="1584" w:name="_Toc1513001482"/>
      <w:bookmarkStart w:id="1585" w:name="_Toc423093483"/>
      <w:bookmarkStart w:id="1586" w:name="_Toc538679232"/>
      <w:bookmarkStart w:id="1587" w:name="_Toc1244177430"/>
      <w:bookmarkStart w:id="1588" w:name="_Toc1641604478"/>
      <w:bookmarkStart w:id="1589" w:name="_Toc1898230219"/>
      <w:bookmarkStart w:id="1590" w:name="_Toc1662809986"/>
      <w:bookmarkStart w:id="1591" w:name="_Toc1440048911"/>
      <w:bookmarkStart w:id="1592" w:name="_Toc498530536"/>
      <w:bookmarkStart w:id="1593" w:name="_Toc1839758389"/>
      <w:bookmarkStart w:id="1594" w:name="_Toc219574146"/>
      <w:bookmarkStart w:id="1595" w:name="_Toc1109707898"/>
      <w:bookmarkStart w:id="1596" w:name="_Toc1149964122"/>
      <w:bookmarkStart w:id="1597" w:name="_Toc533030233"/>
      <w:bookmarkStart w:id="1598" w:name="_Toc1298753471"/>
      <w:bookmarkStart w:id="1599" w:name="_Toc1814232789"/>
      <w:bookmarkStart w:id="1600" w:name="_Toc166059653"/>
      <w:bookmarkStart w:id="1601" w:name="_Toc1684329157"/>
      <w:bookmarkStart w:id="1602" w:name="_Toc646364609"/>
      <w:bookmarkStart w:id="1603" w:name="_Toc849694160"/>
      <w:bookmarkStart w:id="1604" w:name="_Ref92436843"/>
      <w:bookmarkStart w:id="1605" w:name="_Toc94013206"/>
      <w:r>
        <w:t>Relief arrangements (as part of Response)</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30C2FF8F" w14:textId="77777777" w:rsidR="00DD2A1D" w:rsidRPr="003907AC" w:rsidRDefault="00DD2A1D" w:rsidP="003C47B0">
      <w:pPr>
        <w:pStyle w:val="BodyText"/>
      </w:pPr>
      <w:r w:rsidRPr="003907AC">
        <w:rPr>
          <w:b/>
          <w:bCs/>
        </w:rPr>
        <w:t>Relief</w:t>
      </w:r>
      <w:r w:rsidRPr="003907AC">
        <w:t xml:space="preserve"> is the provision of assistance to meet the essential needs of individuals, </w:t>
      </w:r>
      <w:proofErr w:type="gramStart"/>
      <w:r w:rsidRPr="003907AC">
        <w:t>families</w:t>
      </w:r>
      <w:proofErr w:type="gramEnd"/>
      <w:r w:rsidRPr="003907AC">
        <w:t xml:space="preserve"> and communities during and in the immediate aftermath of an emergency.  </w:t>
      </w:r>
    </w:p>
    <w:p w14:paraId="43D2D789" w14:textId="77777777" w:rsidR="00DD2A1D" w:rsidRPr="003907AC" w:rsidRDefault="00DD2A1D" w:rsidP="003C47B0">
      <w:pPr>
        <w:pStyle w:val="BodyText"/>
      </w:pPr>
      <w:r w:rsidRPr="003907AC">
        <w:t xml:space="preserve">As the control agency for Class 2 energy emergencies, DELWP has an overarching role in relation to relief as part of establishing effective command and control arrangements. </w:t>
      </w:r>
    </w:p>
    <w:p w14:paraId="0AA368AE" w14:textId="77777777" w:rsidR="00DD2A1D" w:rsidRPr="003907AC" w:rsidRDefault="00DD2A1D" w:rsidP="003C47B0">
      <w:pPr>
        <w:pStyle w:val="BodyText"/>
      </w:pPr>
      <w:r w:rsidRPr="003907AC">
        <w:t>Specific roles and responsibilities for delivery of relief services and coordination are set out in SEMP Roles and Responsibilities.</w:t>
      </w:r>
    </w:p>
    <w:p w14:paraId="39F3A0BF" w14:textId="77777777" w:rsidR="00DD2A1D" w:rsidRPr="003907AC" w:rsidRDefault="00DD2A1D" w:rsidP="003C47B0">
      <w:pPr>
        <w:pStyle w:val="BodyText"/>
      </w:pPr>
      <w:r w:rsidRPr="003907AC">
        <w:t>Relief co-ordination responsibilities are:</w:t>
      </w:r>
    </w:p>
    <w:p w14:paraId="526A8871" w14:textId="77777777" w:rsidR="00DD2A1D" w:rsidRPr="003C47B0" w:rsidRDefault="00DD2A1D" w:rsidP="0075092B">
      <w:pPr>
        <w:pStyle w:val="ListParagraph"/>
      </w:pPr>
      <w:r w:rsidRPr="003C47B0">
        <w:t>for state relief co-ordination: Emergency Management Victoria (EMV) supported by a range of organisations</w:t>
      </w:r>
    </w:p>
    <w:p w14:paraId="5C0134B6" w14:textId="77777777" w:rsidR="00DD2A1D" w:rsidRPr="008029FB" w:rsidRDefault="00DD2A1D">
      <w:pPr>
        <w:pStyle w:val="ListParagraph"/>
      </w:pPr>
      <w:r w:rsidRPr="008029FB">
        <w:t>for regional relief co-ordination: Department of Families, Fairness and Housing (DFFH)</w:t>
      </w:r>
    </w:p>
    <w:p w14:paraId="355005E8" w14:textId="77777777" w:rsidR="00DD2A1D" w:rsidRPr="003C47B0" w:rsidRDefault="00DD2A1D">
      <w:pPr>
        <w:pStyle w:val="ListParagraph"/>
      </w:pPr>
      <w:r w:rsidRPr="003C47B0">
        <w:t>for municipal relief co-ordination: municipal councils, activated by the relevant incident controller.</w:t>
      </w:r>
    </w:p>
    <w:p w14:paraId="59FF5C50" w14:textId="77777777" w:rsidR="00DD2A1D" w:rsidRPr="003907AC" w:rsidRDefault="00DD2A1D" w:rsidP="003C47B0">
      <w:pPr>
        <w:pStyle w:val="BodyText"/>
      </w:pPr>
      <w:r w:rsidRPr="003907AC">
        <w:t xml:space="preserve">The EMC may appoint a State Emergency Relief Coordinator (SERC) who, in consultation with the State Relief and Recovery Team (SRRT), is responsible for coordinating state-tier provision of essential and urgent assistance to individuals, families and communities affect by a Class 2 energy emergency. </w:t>
      </w:r>
    </w:p>
    <w:p w14:paraId="34854A65" w14:textId="77777777" w:rsidR="00DD2A1D" w:rsidRPr="003907AC" w:rsidRDefault="00DD2A1D" w:rsidP="003C47B0">
      <w:pPr>
        <w:pStyle w:val="BodyText"/>
      </w:pPr>
      <w:r w:rsidRPr="003907AC">
        <w:t xml:space="preserve">DELWP provides advice to the EMC and State Consequence Manager about relief services and coordination requirements.  </w:t>
      </w:r>
    </w:p>
    <w:p w14:paraId="123CD651" w14:textId="3EB9438B" w:rsidR="00727ED3" w:rsidRPr="00851DEE" w:rsidRDefault="00B660B6" w:rsidP="00851DEE">
      <w:r>
        <w:lastRenderedPageBreak/>
        <w:t xml:space="preserve">The </w:t>
      </w:r>
      <w:r w:rsidR="001F565A">
        <w:t>State Controller</w:t>
      </w:r>
      <w:r w:rsidR="001F29BC">
        <w:t xml:space="preserve"> - </w:t>
      </w:r>
      <w:r w:rsidR="001F565A">
        <w:t xml:space="preserve">Energy may determine it is necessary </w:t>
      </w:r>
      <w:r w:rsidR="4A231C30">
        <w:t>to deliver</w:t>
      </w:r>
      <w:r w:rsidR="00727ED3">
        <w:t xml:space="preserve"> relief activities </w:t>
      </w:r>
      <w:r w:rsidR="00BB36B3">
        <w:t xml:space="preserve">as part of response </w:t>
      </w:r>
      <w:r w:rsidR="00727ED3">
        <w:t xml:space="preserve">to residential and business customers affected by prolonged power outages. These activities will be delivered under the direction of the State Controller - Energy. These activities will be coordinated </w:t>
      </w:r>
      <w:r w:rsidR="0003781A">
        <w:t>with</w:t>
      </w:r>
      <w:r w:rsidR="00727ED3">
        <w:t xml:space="preserve"> the SERC.</w:t>
      </w:r>
    </w:p>
    <w:p w14:paraId="7883DCA7" w14:textId="77777777" w:rsidR="00DD2A1D" w:rsidRDefault="00DD2A1D" w:rsidP="003C47B0">
      <w:pPr>
        <w:pStyle w:val="BodyText"/>
      </w:pPr>
      <w:r w:rsidRPr="003907AC">
        <w:t>DELWP provides advice to inform any planning to transition the coordination process from the State Emergency Relief Coordinator to the Regional Recovery Coordinator(s) (RRC).</w:t>
      </w:r>
    </w:p>
    <w:p w14:paraId="75B4FC4F" w14:textId="77777777" w:rsidR="00DD2A1D" w:rsidRPr="003907AC" w:rsidRDefault="00DD2A1D" w:rsidP="003C47B0">
      <w:pPr>
        <w:pStyle w:val="BodyText"/>
      </w:pPr>
      <w:bookmarkStart w:id="1606" w:name="_Toc73015565"/>
      <w:bookmarkStart w:id="1607" w:name="_Toc73015649"/>
      <w:bookmarkStart w:id="1608" w:name="_Toc73541424"/>
      <w:bookmarkStart w:id="1609" w:name="_Toc82274516"/>
      <w:bookmarkStart w:id="1610" w:name="_Toc82350811"/>
      <w:r w:rsidRPr="003907AC">
        <w:t xml:space="preserve">DELWP liaises with energy business to monitor industry-led relief activities, and coordinate restoration priority to best meet the essential needs of community.  </w:t>
      </w:r>
    </w:p>
    <w:p w14:paraId="3B405677" w14:textId="77777777" w:rsidR="00DD2A1D" w:rsidRPr="003907AC" w:rsidRDefault="00DD2A1D" w:rsidP="00DD2A1D">
      <w:pPr>
        <w:pStyle w:val="Heading3"/>
      </w:pPr>
      <w:bookmarkStart w:id="1611" w:name="_Toc94013207"/>
      <w:r>
        <w:t>Power dependent customers</w:t>
      </w:r>
      <w:bookmarkEnd w:id="1611"/>
    </w:p>
    <w:p w14:paraId="2E41DF22" w14:textId="77777777" w:rsidR="00DD2A1D" w:rsidRDefault="00DD2A1D" w:rsidP="003C47B0">
      <w:pPr>
        <w:pStyle w:val="BodyText"/>
      </w:pPr>
      <w:r w:rsidRPr="367F2C92">
        <w:t>People who are known to be dependent on electricity or gas for medical reasons are referred to as ‘power dependent’ or ‘life support’ customers.</w:t>
      </w:r>
    </w:p>
    <w:p w14:paraId="3019F544" w14:textId="1966AE28" w:rsidR="00DD2A1D" w:rsidRDefault="00DD2A1D" w:rsidP="003C47B0">
      <w:pPr>
        <w:pStyle w:val="BodyText"/>
      </w:pPr>
      <w:r w:rsidRPr="367F2C92">
        <w:t xml:space="preserve">Power dependent customers can register with their distribution business directly or through their retailer. Under the </w:t>
      </w:r>
      <w:bookmarkStart w:id="1612" w:name="_Hlk92379769"/>
      <w:r w:rsidRPr="367F2C92">
        <w:t xml:space="preserve">Electricity Distribution </w:t>
      </w:r>
      <w:bookmarkEnd w:id="1612"/>
      <w:r w:rsidRPr="367F2C92">
        <w:t>Code, the Gas Distribution System Code, and the Energy Retail Code, distribution and retail businesses have obligations in relation to persons dependent on electricity or gas for medical reasons.</w:t>
      </w:r>
    </w:p>
    <w:p w14:paraId="6EE30A57" w14:textId="77777777" w:rsidR="00DD2A1D" w:rsidRDefault="00DD2A1D" w:rsidP="003C47B0">
      <w:pPr>
        <w:pStyle w:val="BodyText"/>
      </w:pPr>
      <w:r w:rsidRPr="367F2C92">
        <w:t>These customers develop plans, in collaboration with their general practitioner and/or carer, to manage in the event of a power or gas outage.</w:t>
      </w:r>
    </w:p>
    <w:p w14:paraId="1710A73D" w14:textId="58CE0C2C" w:rsidR="00DD2A1D" w:rsidRDefault="00DD2A1D" w:rsidP="003C47B0">
      <w:pPr>
        <w:pStyle w:val="BodyText"/>
      </w:pPr>
      <w:r>
        <w:t xml:space="preserve">The </w:t>
      </w:r>
      <w:r w:rsidR="003C47B0">
        <w:t>‘</w:t>
      </w:r>
      <w:r>
        <w:t>Assistance for power dependent people during power outage emergencies protocol</w:t>
      </w:r>
      <w:r w:rsidR="003C47B0">
        <w:t xml:space="preserve">’ </w:t>
      </w:r>
      <w:r>
        <w:t>is an agreement between the Department of Health (DH) and distribution businesses which sets out the manner and format of the information required to be supplied, including specifying details of life support customers.</w:t>
      </w:r>
    </w:p>
    <w:p w14:paraId="74EC9DE8" w14:textId="2878B71F" w:rsidR="00DD2A1D" w:rsidRPr="00612484" w:rsidRDefault="00DD2A1D" w:rsidP="003C47B0">
      <w:pPr>
        <w:pStyle w:val="BodyText"/>
      </w:pPr>
      <w:r>
        <w:t>The definition of ‘widespread supply event’ in the Electricity Distribution Code is any event where the Single Industry Spokesperson has been activated by AEMO. Consistent with the Code and the agreement between DH and distribution businesses, information about outages expected to be longer than 24 hours, and the associated details of life support customers, are shared as soon as possible after a distribution business expects an outage to be longer than 24 hours, and at least one of the follow criteria are met:</w:t>
      </w:r>
    </w:p>
    <w:p w14:paraId="3472C9D0" w14:textId="77777777" w:rsidR="00DD2A1D" w:rsidRPr="00612484" w:rsidRDefault="00DD2A1D" w:rsidP="0075092B">
      <w:pPr>
        <w:pStyle w:val="ListParagraph"/>
      </w:pPr>
      <w:r w:rsidRPr="00612484">
        <w:t>the SISP is activated, or</w:t>
      </w:r>
    </w:p>
    <w:p w14:paraId="32B50635" w14:textId="71E44B5F" w:rsidR="00DD2A1D" w:rsidRDefault="00DD2A1D">
      <w:pPr>
        <w:pStyle w:val="ListParagraph"/>
      </w:pPr>
      <w:r>
        <w:t xml:space="preserve">the triggers for a major emergency are met, and DH, DFFH or DELWP requests this information to lessen or prevent a serious threat to the life, </w:t>
      </w:r>
      <w:proofErr w:type="gramStart"/>
      <w:r>
        <w:t>health</w:t>
      </w:r>
      <w:proofErr w:type="gramEnd"/>
      <w:r>
        <w:t xml:space="preserve"> or safety of any individual, or to public health or safety.</w:t>
      </w:r>
    </w:p>
    <w:p w14:paraId="65BBEA55" w14:textId="235D2BFA" w:rsidR="00DD2A1D" w:rsidRDefault="00DD2A1D" w:rsidP="003C47B0">
      <w:pPr>
        <w:pStyle w:val="BodyText"/>
      </w:pPr>
      <w:r>
        <w:t>As a matter of practice, distribution businesses provide the required information to DH (as the Lead Response Support Agency for public health), DFFH (as the agency responsible for regional relief co-ordination) and DELWP (as the control agency for energy emergencies) simultaneously.</w:t>
      </w:r>
    </w:p>
    <w:p w14:paraId="751998DD" w14:textId="7405933E" w:rsidR="00DD2A1D" w:rsidRPr="00D20DC2" w:rsidRDefault="00DD2A1D" w:rsidP="003C47B0">
      <w:pPr>
        <w:pStyle w:val="BodyText"/>
      </w:pPr>
      <w:r>
        <w:t xml:space="preserve">The disclosure of this information by a distribution business to DH, DFFH and DELWP is considered necessary to lessen or prevent a serious threat to the life, </w:t>
      </w:r>
      <w:proofErr w:type="gramStart"/>
      <w:r>
        <w:t>health</w:t>
      </w:r>
      <w:proofErr w:type="gramEnd"/>
      <w:r>
        <w:t xml:space="preserve"> or safety of any individual, or to public health or safety.</w:t>
      </w:r>
    </w:p>
    <w:p w14:paraId="720A5C41" w14:textId="44CC7A73" w:rsidR="00DD2A1D" w:rsidRDefault="00DD2A1D" w:rsidP="003C47B0">
      <w:pPr>
        <w:pStyle w:val="BodyText"/>
      </w:pPr>
      <w:r>
        <w:t>DH and DFFH have a role to work with distribution companies to contact and provide support to power dependant customers affected by a major energy emergency.</w:t>
      </w:r>
    </w:p>
    <w:p w14:paraId="12822121" w14:textId="77777777" w:rsidR="00DD2A1D" w:rsidRPr="003907AC" w:rsidRDefault="00DD2A1D" w:rsidP="00DD2A1D">
      <w:pPr>
        <w:pStyle w:val="Heading2"/>
      </w:pPr>
      <w:bookmarkStart w:id="1613" w:name="_Toc73015653"/>
      <w:bookmarkStart w:id="1614" w:name="_Toc73015655"/>
      <w:bookmarkStart w:id="1615" w:name="_Toc73015660"/>
      <w:bookmarkStart w:id="1616" w:name="_Toc73541436"/>
      <w:bookmarkStart w:id="1617" w:name="_Toc82162629"/>
      <w:bookmarkStart w:id="1618" w:name="_Toc82274518"/>
      <w:bookmarkStart w:id="1619" w:name="_Toc82350812"/>
      <w:bookmarkStart w:id="1620" w:name="_Toc90319423"/>
      <w:bookmarkStart w:id="1621" w:name="_Toc1867427051"/>
      <w:bookmarkStart w:id="1622" w:name="_Toc1919716788"/>
      <w:bookmarkStart w:id="1623" w:name="_Toc1492582657"/>
      <w:bookmarkStart w:id="1624" w:name="_Toc2078776242"/>
      <w:bookmarkStart w:id="1625" w:name="_Toc1385172105"/>
      <w:bookmarkStart w:id="1626" w:name="_Toc1998054446"/>
      <w:bookmarkStart w:id="1627" w:name="_Toc1693917933"/>
      <w:bookmarkStart w:id="1628" w:name="_Toc1887224094"/>
      <w:bookmarkStart w:id="1629" w:name="_Toc951436283"/>
      <w:bookmarkStart w:id="1630" w:name="_Toc1325935456"/>
      <w:bookmarkStart w:id="1631" w:name="_Toc1879486316"/>
      <w:bookmarkStart w:id="1632" w:name="_Toc1211801259"/>
      <w:bookmarkStart w:id="1633" w:name="_Toc444134193"/>
      <w:bookmarkStart w:id="1634" w:name="_Toc40656480"/>
      <w:bookmarkStart w:id="1635" w:name="_Toc196464257"/>
      <w:bookmarkStart w:id="1636" w:name="_Toc474343707"/>
      <w:bookmarkStart w:id="1637" w:name="_Toc1735663549"/>
      <w:bookmarkStart w:id="1638" w:name="_Toc689074456"/>
      <w:bookmarkStart w:id="1639" w:name="_Toc569868109"/>
      <w:bookmarkStart w:id="1640" w:name="_Toc1352325943"/>
      <w:bookmarkStart w:id="1641" w:name="_Toc210619048"/>
      <w:bookmarkStart w:id="1642" w:name="_Toc2037576975"/>
      <w:bookmarkStart w:id="1643" w:name="_Toc12825097"/>
      <w:bookmarkStart w:id="1644" w:name="_Toc869496863"/>
      <w:bookmarkStart w:id="1645" w:name="_Toc663021215"/>
      <w:bookmarkStart w:id="1646" w:name="_Toc885153278"/>
      <w:bookmarkStart w:id="1647" w:name="_Toc139632874"/>
      <w:bookmarkStart w:id="1648" w:name="_Toc2114980820"/>
      <w:bookmarkStart w:id="1649" w:name="_Toc1906273602"/>
      <w:bookmarkStart w:id="1650" w:name="_Toc605836444"/>
      <w:bookmarkStart w:id="1651" w:name="_Toc1207537875"/>
      <w:bookmarkStart w:id="1652" w:name="_Toc995789224"/>
      <w:bookmarkStart w:id="1653" w:name="_Toc109970127"/>
      <w:bookmarkStart w:id="1654" w:name="_Toc363215396"/>
      <w:bookmarkStart w:id="1655" w:name="_Toc1959153766"/>
      <w:bookmarkStart w:id="1656" w:name="_Toc915481307"/>
      <w:bookmarkStart w:id="1657" w:name="_Toc526526137"/>
      <w:bookmarkStart w:id="1658" w:name="_Toc965505422"/>
      <w:bookmarkStart w:id="1659" w:name="_Toc1259165676"/>
      <w:bookmarkStart w:id="1660" w:name="_Toc319590378"/>
      <w:bookmarkStart w:id="1661" w:name="_Toc318002977"/>
      <w:bookmarkStart w:id="1662" w:name="_Toc1157163445"/>
      <w:bookmarkStart w:id="1663" w:name="_Toc960610172"/>
      <w:bookmarkStart w:id="1664" w:name="_Toc1038905356"/>
      <w:bookmarkStart w:id="1665" w:name="_Toc20674956"/>
      <w:bookmarkStart w:id="1666" w:name="_Ref92436306"/>
      <w:bookmarkStart w:id="1667" w:name="_Toc94013208"/>
      <w:bookmarkEnd w:id="1606"/>
      <w:bookmarkEnd w:id="1607"/>
      <w:bookmarkEnd w:id="1608"/>
      <w:bookmarkEnd w:id="1609"/>
      <w:bookmarkEnd w:id="1610"/>
      <w:bookmarkEnd w:id="1613"/>
      <w:bookmarkEnd w:id="1614"/>
      <w:r>
        <w:t>Transition to Recovery</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0B0EB26F" w14:textId="78CC20E2" w:rsidR="000037B6" w:rsidRPr="00F0567A" w:rsidRDefault="000037B6" w:rsidP="000037B6">
      <w:pPr>
        <w:pStyle w:val="BodyText"/>
        <w:jc w:val="both"/>
        <w:rPr>
          <w:rFonts w:ascii="Arial" w:hAnsi="Arial"/>
        </w:rPr>
      </w:pPr>
      <w:bookmarkStart w:id="1668" w:name="_Int_lpH9Dpat"/>
      <w:r w:rsidRPr="00F0567A">
        <w:rPr>
          <w:rFonts w:ascii="Arial" w:hAnsi="Arial"/>
        </w:rPr>
        <w:t xml:space="preserve">As response control and coordination activities decrease, agencies will make decisions regarding recovery priorities by working cooperatively to share information, jointly plan and execute. </w:t>
      </w:r>
      <w:bookmarkEnd w:id="1668"/>
    </w:p>
    <w:p w14:paraId="4DE00EA3" w14:textId="77777777" w:rsidR="000037B6" w:rsidRPr="00F0567A" w:rsidRDefault="000037B6" w:rsidP="000037B6">
      <w:pPr>
        <w:pStyle w:val="BodyText"/>
        <w:jc w:val="both"/>
        <w:rPr>
          <w:rFonts w:ascii="Arial" w:hAnsi="Arial"/>
        </w:rPr>
      </w:pPr>
      <w:bookmarkStart w:id="1669" w:name="_Int_btyomGcN"/>
      <w:r w:rsidRPr="00F0567A">
        <w:rPr>
          <w:rFonts w:ascii="Arial" w:hAnsi="Arial"/>
        </w:rPr>
        <w:t xml:space="preserve">The SEMP outlines the process and roles and responsibilities for transition, along with those short-term recovery activities that should be considered in the transition plan. </w:t>
      </w:r>
      <w:bookmarkEnd w:id="1669"/>
    </w:p>
    <w:p w14:paraId="3B2F1BC3" w14:textId="346BC827" w:rsidR="00662611" w:rsidRPr="00F0567A" w:rsidRDefault="008F6F2F" w:rsidP="000037B6">
      <w:pPr>
        <w:pStyle w:val="BodyText"/>
        <w:jc w:val="both"/>
        <w:rPr>
          <w:rFonts w:ascii="Arial" w:hAnsi="Arial"/>
        </w:rPr>
      </w:pPr>
      <w:bookmarkStart w:id="1670" w:name="_Int_CFuhU9YA"/>
      <w:r w:rsidRPr="00F0567A">
        <w:rPr>
          <w:rFonts w:ascii="Arial" w:hAnsi="Arial"/>
        </w:rPr>
        <w:t>The</w:t>
      </w:r>
      <w:r w:rsidR="00587FCB" w:rsidRPr="00F0567A">
        <w:rPr>
          <w:rFonts w:ascii="Arial" w:hAnsi="Arial"/>
        </w:rPr>
        <w:t xml:space="preserve"> State Controller - Energy will work with the State Recovery Coordinator to develop transition plans for recovery. T</w:t>
      </w:r>
      <w:r w:rsidR="009965EF" w:rsidRPr="00F0567A">
        <w:rPr>
          <w:rFonts w:ascii="Arial" w:hAnsi="Arial"/>
        </w:rPr>
        <w:t xml:space="preserve">ransition will be to the relevant </w:t>
      </w:r>
      <w:r w:rsidR="00DA1E66" w:rsidRPr="00F0567A">
        <w:rPr>
          <w:rFonts w:ascii="Arial" w:hAnsi="Arial"/>
        </w:rPr>
        <w:t>Recovery Lead Agency (</w:t>
      </w:r>
      <w:proofErr w:type="spellStart"/>
      <w:r w:rsidR="00DA1E66" w:rsidRPr="00F0567A">
        <w:rPr>
          <w:rFonts w:ascii="Arial" w:hAnsi="Arial"/>
        </w:rPr>
        <w:t>RecLA</w:t>
      </w:r>
      <w:proofErr w:type="spellEnd"/>
      <w:r w:rsidR="00DA1E66" w:rsidRPr="00F0567A">
        <w:rPr>
          <w:rFonts w:ascii="Arial" w:hAnsi="Arial"/>
        </w:rPr>
        <w:t>), with support from Recovery Support Agencies (</w:t>
      </w:r>
      <w:proofErr w:type="spellStart"/>
      <w:r w:rsidR="00DA1E66" w:rsidRPr="00F0567A">
        <w:rPr>
          <w:rFonts w:ascii="Arial" w:hAnsi="Arial"/>
        </w:rPr>
        <w:t>RelSAs</w:t>
      </w:r>
      <w:proofErr w:type="spellEnd"/>
      <w:r w:rsidR="00DA1E66" w:rsidRPr="00F0567A">
        <w:rPr>
          <w:rFonts w:ascii="Arial" w:hAnsi="Arial"/>
        </w:rPr>
        <w:t>)</w:t>
      </w:r>
      <w:r w:rsidR="0072628A" w:rsidRPr="00F0567A">
        <w:rPr>
          <w:rFonts w:ascii="Arial" w:hAnsi="Arial"/>
        </w:rPr>
        <w:t xml:space="preserve">. </w:t>
      </w:r>
    </w:p>
    <w:p w14:paraId="279E538A" w14:textId="25EA4135" w:rsidR="000037B6" w:rsidRPr="00F0567A" w:rsidRDefault="000037B6" w:rsidP="000037B6">
      <w:pPr>
        <w:pStyle w:val="BodyText"/>
        <w:jc w:val="both"/>
        <w:rPr>
          <w:rFonts w:ascii="Arial" w:hAnsi="Arial"/>
        </w:rPr>
      </w:pPr>
      <w:r w:rsidRPr="00F0567A">
        <w:rPr>
          <w:rFonts w:ascii="Arial" w:hAnsi="Arial"/>
        </w:rPr>
        <w:lastRenderedPageBreak/>
        <w:t>Key consideration</w:t>
      </w:r>
      <w:r w:rsidR="00662611" w:rsidRPr="00F0567A">
        <w:rPr>
          <w:rFonts w:ascii="Arial" w:hAnsi="Arial"/>
        </w:rPr>
        <w:t>s</w:t>
      </w:r>
      <w:r w:rsidRPr="00F0567A">
        <w:rPr>
          <w:rFonts w:ascii="Arial" w:hAnsi="Arial"/>
        </w:rPr>
        <w:t xml:space="preserve"> in determining </w:t>
      </w:r>
      <w:r w:rsidR="00726359" w:rsidRPr="00F0567A">
        <w:rPr>
          <w:rFonts w:ascii="Arial" w:hAnsi="Arial"/>
        </w:rPr>
        <w:t xml:space="preserve">when </w:t>
      </w:r>
      <w:r w:rsidR="00662611" w:rsidRPr="00F0567A">
        <w:rPr>
          <w:rFonts w:ascii="Arial" w:hAnsi="Arial"/>
        </w:rPr>
        <w:t>and how</w:t>
      </w:r>
      <w:r w:rsidR="00726359" w:rsidRPr="00F0567A">
        <w:rPr>
          <w:rFonts w:ascii="Arial" w:hAnsi="Arial"/>
        </w:rPr>
        <w:t xml:space="preserve"> </w:t>
      </w:r>
      <w:r w:rsidRPr="00F0567A">
        <w:rPr>
          <w:rFonts w:ascii="Arial" w:hAnsi="Arial"/>
        </w:rPr>
        <w:t>response will transition to recovery include:</w:t>
      </w:r>
      <w:bookmarkEnd w:id="1670"/>
    </w:p>
    <w:p w14:paraId="7FF7A42E" w14:textId="3BBBC8A3" w:rsidR="000037B6" w:rsidRPr="00F0567A" w:rsidRDefault="00662611" w:rsidP="000037B6">
      <w:pPr>
        <w:pStyle w:val="BodyText"/>
        <w:numPr>
          <w:ilvl w:val="0"/>
          <w:numId w:val="2"/>
        </w:numPr>
        <w:rPr>
          <w:rFonts w:ascii="Arial" w:hAnsi="Arial"/>
        </w:rPr>
      </w:pPr>
      <w:bookmarkStart w:id="1671" w:name="_Int_hCYMwXsG"/>
      <w:r w:rsidRPr="00F0567A">
        <w:rPr>
          <w:rFonts w:ascii="Arial" w:hAnsi="Arial"/>
        </w:rPr>
        <w:t>the</w:t>
      </w:r>
      <w:r w:rsidR="000037B6" w:rsidRPr="00F0567A">
        <w:rPr>
          <w:rFonts w:ascii="Arial" w:hAnsi="Arial"/>
        </w:rPr>
        <w:t xml:space="preserve"> extent to which concurrent emergencies (</w:t>
      </w:r>
      <w:proofErr w:type="gramStart"/>
      <w:r w:rsidR="00D01AE7" w:rsidRPr="00F0567A">
        <w:rPr>
          <w:rFonts w:ascii="Arial" w:hAnsi="Arial"/>
        </w:rPr>
        <w:t>e.g</w:t>
      </w:r>
      <w:r w:rsidR="000037B6" w:rsidRPr="00F0567A">
        <w:rPr>
          <w:rFonts w:ascii="Arial" w:hAnsi="Arial"/>
        </w:rPr>
        <w:t>.</w:t>
      </w:r>
      <w:proofErr w:type="gramEnd"/>
      <w:r w:rsidR="000037B6" w:rsidRPr="00F0567A">
        <w:rPr>
          <w:rFonts w:ascii="Arial" w:hAnsi="Arial"/>
        </w:rPr>
        <w:t xml:space="preserve"> storm events) are impacting communities</w:t>
      </w:r>
      <w:bookmarkEnd w:id="1671"/>
    </w:p>
    <w:p w14:paraId="5A626AC0" w14:textId="2E0CDA86" w:rsidR="000037B6" w:rsidRPr="00F0567A" w:rsidRDefault="00662611" w:rsidP="000037B6">
      <w:pPr>
        <w:pStyle w:val="BodyText"/>
        <w:numPr>
          <w:ilvl w:val="0"/>
          <w:numId w:val="2"/>
        </w:numPr>
        <w:rPr>
          <w:rFonts w:ascii="Arial" w:hAnsi="Arial"/>
        </w:rPr>
      </w:pPr>
      <w:bookmarkStart w:id="1672" w:name="_Int_lqAxLY2R"/>
      <w:r w:rsidRPr="00F0567A">
        <w:rPr>
          <w:rFonts w:ascii="Arial" w:hAnsi="Arial"/>
        </w:rPr>
        <w:t>the</w:t>
      </w:r>
      <w:r w:rsidR="000037B6" w:rsidRPr="00F0567A">
        <w:rPr>
          <w:rFonts w:ascii="Arial" w:hAnsi="Arial"/>
        </w:rPr>
        <w:t xml:space="preserve"> extent of impact on communities, which may determine whether a prolonged transition period needs to be implemented</w:t>
      </w:r>
      <w:bookmarkEnd w:id="1672"/>
    </w:p>
    <w:p w14:paraId="0CA63347" w14:textId="3E282132" w:rsidR="000037B6" w:rsidRPr="00F0567A" w:rsidRDefault="00662611" w:rsidP="000037B6">
      <w:pPr>
        <w:pStyle w:val="BodyText"/>
        <w:numPr>
          <w:ilvl w:val="0"/>
          <w:numId w:val="2"/>
        </w:numPr>
        <w:rPr>
          <w:rFonts w:ascii="Arial" w:hAnsi="Arial"/>
        </w:rPr>
      </w:pPr>
      <w:bookmarkStart w:id="1673" w:name="_Int_9KQXyHOY"/>
      <w:r w:rsidRPr="00F0567A">
        <w:rPr>
          <w:rFonts w:ascii="Arial" w:hAnsi="Arial"/>
        </w:rPr>
        <w:t>the</w:t>
      </w:r>
      <w:r w:rsidR="000037B6" w:rsidRPr="00F0567A">
        <w:rPr>
          <w:rFonts w:ascii="Arial" w:hAnsi="Arial"/>
        </w:rPr>
        <w:t xml:space="preserve"> extent and known level of loss and damage associated with the emergency</w:t>
      </w:r>
      <w:bookmarkEnd w:id="1673"/>
    </w:p>
    <w:p w14:paraId="5F09D101" w14:textId="263D521E" w:rsidR="000037B6" w:rsidRPr="00F0567A" w:rsidRDefault="00662611" w:rsidP="000037B6">
      <w:pPr>
        <w:pStyle w:val="BodyText"/>
        <w:numPr>
          <w:ilvl w:val="0"/>
          <w:numId w:val="2"/>
        </w:numPr>
        <w:rPr>
          <w:rFonts w:ascii="Arial" w:hAnsi="Arial"/>
        </w:rPr>
      </w:pPr>
      <w:bookmarkStart w:id="1674" w:name="_Int_NCxzTafv"/>
      <w:r w:rsidRPr="00F0567A">
        <w:rPr>
          <w:rFonts w:ascii="Arial" w:hAnsi="Arial"/>
        </w:rPr>
        <w:t>the</w:t>
      </w:r>
      <w:r w:rsidR="000037B6" w:rsidRPr="00F0567A">
        <w:rPr>
          <w:rFonts w:ascii="Arial" w:hAnsi="Arial"/>
        </w:rPr>
        <w:t xml:space="preserve"> extent of emergency relief required by affected communities.</w:t>
      </w:r>
      <w:bookmarkEnd w:id="1674"/>
      <w:r w:rsidR="000037B6" w:rsidRPr="00F0567A">
        <w:rPr>
          <w:rFonts w:ascii="Arial" w:hAnsi="Arial"/>
        </w:rPr>
        <w:t xml:space="preserve"> </w:t>
      </w:r>
    </w:p>
    <w:p w14:paraId="16A405A2" w14:textId="000CFF52" w:rsidR="000037B6" w:rsidRPr="00F0567A" w:rsidRDefault="00C540D2" w:rsidP="000037B6">
      <w:pPr>
        <w:pStyle w:val="BodyText"/>
        <w:jc w:val="both"/>
        <w:rPr>
          <w:rFonts w:ascii="Arial" w:hAnsi="Arial"/>
        </w:rPr>
      </w:pPr>
      <w:bookmarkStart w:id="1675" w:name="_Int_reaEjVbI"/>
      <w:r w:rsidRPr="00F0567A">
        <w:rPr>
          <w:rFonts w:ascii="Arial" w:hAnsi="Arial"/>
        </w:rPr>
        <w:t xml:space="preserve">During a prolonged energy supply </w:t>
      </w:r>
      <w:r w:rsidR="0029289C" w:rsidRPr="00F0567A">
        <w:rPr>
          <w:rFonts w:ascii="Arial" w:hAnsi="Arial"/>
        </w:rPr>
        <w:t xml:space="preserve">disruption, </w:t>
      </w:r>
      <w:r w:rsidR="00F55DF5" w:rsidRPr="00F0567A">
        <w:rPr>
          <w:rFonts w:ascii="Arial" w:hAnsi="Arial"/>
        </w:rPr>
        <w:t xml:space="preserve">the State Controller – Energy will ensure that </w:t>
      </w:r>
      <w:r w:rsidR="00D16D63" w:rsidRPr="00F0567A">
        <w:rPr>
          <w:rFonts w:ascii="Arial" w:hAnsi="Arial"/>
        </w:rPr>
        <w:t xml:space="preserve">the transition </w:t>
      </w:r>
      <w:r w:rsidR="00450B32" w:rsidRPr="00F0567A">
        <w:rPr>
          <w:rFonts w:ascii="Arial" w:hAnsi="Arial"/>
        </w:rPr>
        <w:t>to recovery</w:t>
      </w:r>
      <w:r w:rsidR="00D16D63" w:rsidRPr="00F0567A">
        <w:rPr>
          <w:rFonts w:ascii="Arial" w:hAnsi="Arial"/>
        </w:rPr>
        <w:t xml:space="preserve"> plan </w:t>
      </w:r>
      <w:r w:rsidR="00035F6B" w:rsidRPr="00F0567A">
        <w:rPr>
          <w:rFonts w:ascii="Arial" w:hAnsi="Arial"/>
        </w:rPr>
        <w:t>account</w:t>
      </w:r>
      <w:r w:rsidR="00F55DF5" w:rsidRPr="00F0567A">
        <w:rPr>
          <w:rFonts w:ascii="Arial" w:hAnsi="Arial"/>
        </w:rPr>
        <w:t>s</w:t>
      </w:r>
      <w:r w:rsidR="00035F6B" w:rsidRPr="00F0567A">
        <w:rPr>
          <w:rFonts w:ascii="Arial" w:hAnsi="Arial"/>
        </w:rPr>
        <w:t xml:space="preserve"> for </w:t>
      </w:r>
      <w:r w:rsidR="00321E6C" w:rsidRPr="00F0567A">
        <w:rPr>
          <w:rFonts w:ascii="Arial" w:hAnsi="Arial"/>
        </w:rPr>
        <w:t>requirements</w:t>
      </w:r>
      <w:r w:rsidR="00035F6B" w:rsidRPr="00F0567A">
        <w:rPr>
          <w:rFonts w:ascii="Arial" w:hAnsi="Arial"/>
        </w:rPr>
        <w:t xml:space="preserve"> </w:t>
      </w:r>
      <w:r w:rsidR="00A2358C" w:rsidRPr="00F0567A">
        <w:rPr>
          <w:rFonts w:ascii="Arial" w:hAnsi="Arial"/>
        </w:rPr>
        <w:t xml:space="preserve">of affected community </w:t>
      </w:r>
      <w:r w:rsidR="00EF56DB" w:rsidRPr="00F0567A">
        <w:rPr>
          <w:rFonts w:ascii="Arial" w:hAnsi="Arial"/>
        </w:rPr>
        <w:t xml:space="preserve">members including any </w:t>
      </w:r>
      <w:r w:rsidR="00703009" w:rsidRPr="00F0567A">
        <w:rPr>
          <w:rFonts w:ascii="Arial" w:hAnsi="Arial"/>
        </w:rPr>
        <w:t xml:space="preserve">temporary support that has been </w:t>
      </w:r>
      <w:r w:rsidR="00B354F3" w:rsidRPr="00F0567A">
        <w:rPr>
          <w:rFonts w:ascii="Arial" w:hAnsi="Arial"/>
        </w:rPr>
        <w:t>put in place</w:t>
      </w:r>
      <w:r w:rsidR="009F0F8C" w:rsidRPr="00F0567A">
        <w:rPr>
          <w:rFonts w:ascii="Arial" w:hAnsi="Arial"/>
        </w:rPr>
        <w:t xml:space="preserve"> to assist with essential needs</w:t>
      </w:r>
      <w:r w:rsidR="00071633" w:rsidRPr="00F0567A">
        <w:rPr>
          <w:rFonts w:ascii="Arial" w:hAnsi="Arial"/>
        </w:rPr>
        <w:t xml:space="preserve">. </w:t>
      </w:r>
      <w:bookmarkEnd w:id="1675"/>
    </w:p>
    <w:p w14:paraId="2D78CB67" w14:textId="25CF77C5" w:rsidR="000037B6" w:rsidRDefault="000037B6" w:rsidP="000037B6">
      <w:pPr>
        <w:pStyle w:val="BodyText"/>
        <w:jc w:val="both"/>
        <w:rPr>
          <w:rFonts w:ascii="Arial" w:hAnsi="Arial"/>
        </w:rPr>
      </w:pPr>
      <w:r w:rsidRPr="00F0567A">
        <w:rPr>
          <w:rFonts w:ascii="Arial" w:hAnsi="Arial"/>
        </w:rPr>
        <w:t xml:space="preserve">During prolonged energy </w:t>
      </w:r>
      <w:r w:rsidR="00683B8F" w:rsidRPr="00F0567A">
        <w:rPr>
          <w:rFonts w:ascii="Arial" w:hAnsi="Arial"/>
        </w:rPr>
        <w:t>disruptions</w:t>
      </w:r>
      <w:r w:rsidR="00071633" w:rsidRPr="00F0567A">
        <w:rPr>
          <w:rFonts w:ascii="Arial" w:hAnsi="Arial"/>
        </w:rPr>
        <w:t>,</w:t>
      </w:r>
      <w:r w:rsidRPr="00F0567A">
        <w:rPr>
          <w:rFonts w:ascii="Arial" w:hAnsi="Arial"/>
        </w:rPr>
        <w:t xml:space="preserve"> </w:t>
      </w:r>
      <w:r w:rsidR="00A25E61" w:rsidRPr="00F0567A">
        <w:rPr>
          <w:rFonts w:ascii="Arial" w:hAnsi="Arial"/>
        </w:rPr>
        <w:t xml:space="preserve">transition to recovery will be phased, </w:t>
      </w:r>
      <w:r w:rsidR="007F3BFB" w:rsidRPr="00F0567A">
        <w:rPr>
          <w:rFonts w:ascii="Arial" w:hAnsi="Arial"/>
        </w:rPr>
        <w:t>with the</w:t>
      </w:r>
      <w:r w:rsidR="00A25E61" w:rsidRPr="00F0567A">
        <w:rPr>
          <w:rFonts w:ascii="Arial" w:hAnsi="Arial"/>
        </w:rPr>
        <w:t xml:space="preserve"> </w:t>
      </w:r>
      <w:r w:rsidR="00683B8F" w:rsidRPr="00F0567A">
        <w:rPr>
          <w:rFonts w:ascii="Arial" w:hAnsi="Arial"/>
        </w:rPr>
        <w:t xml:space="preserve">transition to recovering </w:t>
      </w:r>
      <w:r w:rsidR="007F3BFB" w:rsidRPr="00F0567A">
        <w:rPr>
          <w:rFonts w:ascii="Arial" w:hAnsi="Arial"/>
        </w:rPr>
        <w:t>plan</w:t>
      </w:r>
      <w:r w:rsidR="00683B8F" w:rsidRPr="00F0567A">
        <w:rPr>
          <w:rFonts w:ascii="Arial" w:hAnsi="Arial"/>
        </w:rPr>
        <w:t>ning</w:t>
      </w:r>
      <w:r w:rsidR="00C3543B" w:rsidRPr="00F0567A">
        <w:rPr>
          <w:rFonts w:ascii="Arial" w:hAnsi="Arial"/>
        </w:rPr>
        <w:t xml:space="preserve"> </w:t>
      </w:r>
      <w:r w:rsidR="007F3BFB" w:rsidRPr="00F0567A">
        <w:rPr>
          <w:rFonts w:ascii="Arial" w:hAnsi="Arial"/>
        </w:rPr>
        <w:t xml:space="preserve">accounting for </w:t>
      </w:r>
      <w:r w:rsidR="00C3543B" w:rsidRPr="00F0567A">
        <w:rPr>
          <w:rFonts w:ascii="Arial" w:hAnsi="Arial"/>
        </w:rPr>
        <w:t xml:space="preserve">ongoing </w:t>
      </w:r>
      <w:r w:rsidR="007F3BFB" w:rsidRPr="00F0567A">
        <w:rPr>
          <w:rFonts w:ascii="Arial" w:hAnsi="Arial"/>
        </w:rPr>
        <w:t>response in some regions</w:t>
      </w:r>
      <w:r w:rsidR="00C3543B" w:rsidRPr="00F0567A">
        <w:rPr>
          <w:rFonts w:ascii="Arial" w:hAnsi="Arial"/>
        </w:rPr>
        <w:t xml:space="preserve"> </w:t>
      </w:r>
      <w:r w:rsidR="00ED5EFF" w:rsidRPr="00F0567A">
        <w:rPr>
          <w:rFonts w:ascii="Arial" w:hAnsi="Arial"/>
        </w:rPr>
        <w:t>or areas, and</w:t>
      </w:r>
      <w:r w:rsidR="00C3543B" w:rsidRPr="00F0567A">
        <w:rPr>
          <w:rFonts w:ascii="Arial" w:hAnsi="Arial"/>
        </w:rPr>
        <w:t xml:space="preserve"> </w:t>
      </w:r>
      <w:r w:rsidR="00683B8F" w:rsidRPr="00F0567A">
        <w:rPr>
          <w:rFonts w:ascii="Arial" w:hAnsi="Arial"/>
        </w:rPr>
        <w:t>recovery in others</w:t>
      </w:r>
      <w:r w:rsidRPr="00F0567A">
        <w:rPr>
          <w:rFonts w:ascii="Arial" w:hAnsi="Arial"/>
        </w:rPr>
        <w:t xml:space="preserve">. </w:t>
      </w:r>
      <w:r w:rsidR="003E580C" w:rsidRPr="00F0567A">
        <w:rPr>
          <w:rFonts w:ascii="Arial" w:hAnsi="Arial"/>
        </w:rPr>
        <w:t>Controllers and Recovery Coordinators at relevant</w:t>
      </w:r>
      <w:r w:rsidRPr="00F0567A">
        <w:rPr>
          <w:rFonts w:ascii="Arial" w:hAnsi="Arial"/>
        </w:rPr>
        <w:t xml:space="preserve"> incident, regional and State tiers </w:t>
      </w:r>
      <w:r w:rsidR="003E580C" w:rsidRPr="00F0567A">
        <w:rPr>
          <w:rFonts w:ascii="Arial" w:hAnsi="Arial"/>
        </w:rPr>
        <w:t xml:space="preserve">will </w:t>
      </w:r>
      <w:r w:rsidRPr="00F0567A">
        <w:rPr>
          <w:rFonts w:ascii="Arial" w:hAnsi="Arial"/>
        </w:rPr>
        <w:t>agree on the timing and phasing of transition, the activities required and who is responsible.</w:t>
      </w:r>
    </w:p>
    <w:p w14:paraId="587642BA" w14:textId="77777777" w:rsidR="00DD2A1D" w:rsidRPr="003907AC" w:rsidRDefault="00DD2A1D" w:rsidP="00DD2A1D">
      <w:pPr>
        <w:pStyle w:val="Heading1"/>
      </w:pPr>
      <w:bookmarkStart w:id="1676" w:name="_Toc42782298"/>
      <w:bookmarkStart w:id="1677" w:name="_Toc56678607"/>
      <w:bookmarkStart w:id="1678" w:name="_Toc82274519"/>
      <w:bookmarkStart w:id="1679" w:name="_Toc82350813"/>
      <w:bookmarkStart w:id="1680" w:name="_Toc90319424"/>
      <w:bookmarkStart w:id="1681" w:name="_Ref92436845"/>
      <w:bookmarkStart w:id="1682" w:name="_Toc94013209"/>
      <w:bookmarkStart w:id="1683" w:name="_Toc73015569"/>
      <w:bookmarkStart w:id="1684" w:name="_Toc73015662"/>
      <w:bookmarkStart w:id="1685" w:name="_Toc73541438"/>
      <w:bookmarkStart w:id="1686" w:name="_Toc1402656627"/>
      <w:bookmarkStart w:id="1687" w:name="_Toc1975264035"/>
      <w:bookmarkStart w:id="1688" w:name="_Toc374796330"/>
      <w:bookmarkStart w:id="1689" w:name="_Toc95557905"/>
      <w:bookmarkStart w:id="1690" w:name="_Toc845560111"/>
      <w:bookmarkStart w:id="1691" w:name="_Toc1490050394"/>
      <w:bookmarkStart w:id="1692" w:name="_Toc744178078"/>
      <w:bookmarkStart w:id="1693" w:name="_Toc329167595"/>
      <w:bookmarkStart w:id="1694" w:name="_Toc1715226284"/>
      <w:bookmarkStart w:id="1695" w:name="_Toc544105351"/>
      <w:bookmarkStart w:id="1696" w:name="_Toc375341479"/>
      <w:bookmarkStart w:id="1697" w:name="_Toc1815373615"/>
      <w:bookmarkStart w:id="1698" w:name="_Toc1959758287"/>
      <w:bookmarkStart w:id="1699" w:name="_Toc1627192607"/>
      <w:bookmarkStart w:id="1700" w:name="_Toc413109903"/>
      <w:bookmarkStart w:id="1701" w:name="_Toc99731175"/>
      <w:bookmarkStart w:id="1702" w:name="_Toc12315501"/>
      <w:bookmarkStart w:id="1703" w:name="_Toc807076287"/>
      <w:bookmarkStart w:id="1704" w:name="_Toc43737171"/>
      <w:bookmarkStart w:id="1705" w:name="_Toc1461371491"/>
      <w:bookmarkStart w:id="1706" w:name="_Toc1510085221"/>
      <w:bookmarkStart w:id="1707" w:name="_Toc567862766"/>
      <w:bookmarkStart w:id="1708" w:name="_Toc1279557948"/>
      <w:bookmarkStart w:id="1709" w:name="_Toc1719134408"/>
      <w:bookmarkStart w:id="1710" w:name="_Toc374269290"/>
      <w:bookmarkStart w:id="1711" w:name="_Toc940612221"/>
      <w:bookmarkStart w:id="1712" w:name="_Toc432023185"/>
      <w:bookmarkStart w:id="1713" w:name="_Toc849838896"/>
      <w:bookmarkStart w:id="1714" w:name="_Toc1666310434"/>
      <w:bookmarkStart w:id="1715" w:name="_Toc413788858"/>
      <w:bookmarkStart w:id="1716" w:name="_Toc1738005401"/>
      <w:bookmarkStart w:id="1717" w:name="_Toc411226847"/>
      <w:bookmarkStart w:id="1718" w:name="_Toc248669094"/>
      <w:bookmarkStart w:id="1719" w:name="_Toc1333643969"/>
      <w:bookmarkStart w:id="1720" w:name="_Toc1370449801"/>
      <w:bookmarkStart w:id="1721" w:name="_Toc153030564"/>
      <w:bookmarkStart w:id="1722" w:name="_Toc1008780903"/>
      <w:bookmarkStart w:id="1723" w:name="_Toc1933100665"/>
      <w:bookmarkStart w:id="1724" w:name="_Toc1494386336"/>
      <w:bookmarkStart w:id="1725" w:name="_Toc1920052685"/>
      <w:bookmarkStart w:id="1726" w:name="_Toc631466983"/>
      <w:bookmarkStart w:id="1727" w:name="_Toc1086357645"/>
      <w:bookmarkStart w:id="1728" w:name="_Toc1140953846"/>
      <w:bookmarkStart w:id="1729" w:name="_Toc2017461888"/>
      <w:bookmarkStart w:id="1730" w:name="_Toc1953247132"/>
      <w:r>
        <w:t>Recovery</w:t>
      </w:r>
      <w:bookmarkEnd w:id="1676"/>
      <w:bookmarkEnd w:id="1677"/>
      <w:bookmarkEnd w:id="1678"/>
      <w:bookmarkEnd w:id="1679"/>
      <w:bookmarkEnd w:id="1680"/>
      <w:bookmarkEnd w:id="1681"/>
      <w:bookmarkEnd w:id="1682"/>
      <w:r>
        <w:t xml:space="preserve"> </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14:paraId="4BEAADB7" w14:textId="0AC9A90C" w:rsidR="00DD2A1D" w:rsidRPr="003907AC" w:rsidRDefault="00DD2A1D" w:rsidP="70E080EC">
      <w:pPr>
        <w:pStyle w:val="BodyText"/>
        <w:jc w:val="both"/>
      </w:pPr>
      <w:r w:rsidRPr="70E080EC">
        <w:rPr>
          <w:b/>
          <w:bCs/>
        </w:rPr>
        <w:t>Recovery</w:t>
      </w:r>
      <w:r>
        <w:t xml:space="preserve"> means the assistance of persons and communities affected by emergencies to achieve a proper and effective level of functioning. Emergency relief and recovery activities integrate with emergency response activities and commence as soon as the impact and consequences of the emergency are anticipated. </w:t>
      </w:r>
    </w:p>
    <w:p w14:paraId="05171EA6" w14:textId="77777777" w:rsidR="00DD2A1D" w:rsidRPr="003907AC" w:rsidRDefault="00DD2A1D" w:rsidP="70E080EC">
      <w:pPr>
        <w:pStyle w:val="BodyText"/>
        <w:jc w:val="both"/>
        <w:rPr>
          <w:color w:val="000000"/>
        </w:rPr>
      </w:pPr>
      <w:r>
        <w:t xml:space="preserve">Specific roles and responsibilities for delivery of recovery coordination </w:t>
      </w:r>
      <w:r w:rsidRPr="70E080EC">
        <w:rPr>
          <w:color w:val="000000"/>
        </w:rPr>
        <w:t>and recovery activities are set out in SEMP Roles and Responsibilities, in the Recovery section.</w:t>
      </w:r>
    </w:p>
    <w:p w14:paraId="62FF7F9F" w14:textId="77777777" w:rsidR="00DD2A1D" w:rsidRPr="003907AC" w:rsidRDefault="00DD2A1D" w:rsidP="70E080EC">
      <w:pPr>
        <w:pStyle w:val="BodyText"/>
        <w:jc w:val="both"/>
      </w:pPr>
      <w:r>
        <w:t xml:space="preserve">Under the SEMP, DELWP is the recovery lead agency for built environment (energy services). DELWP liaises with industry plan for reinstatement and return to reliable supply.  </w:t>
      </w:r>
    </w:p>
    <w:p w14:paraId="7ECFF53D" w14:textId="77777777" w:rsidR="00DD2A1D" w:rsidRPr="003907AC" w:rsidRDefault="00DD2A1D" w:rsidP="70E080EC">
      <w:pPr>
        <w:pStyle w:val="BodyText"/>
        <w:jc w:val="both"/>
      </w:pPr>
      <w:r>
        <w:t xml:space="preserve">AEMO, electricity, gas, liquid </w:t>
      </w:r>
      <w:proofErr w:type="gramStart"/>
      <w:r>
        <w:t>fuel</w:t>
      </w:r>
      <w:proofErr w:type="gramEnd"/>
      <w:r>
        <w:t xml:space="preserve"> and pipeline companies and ESV are recovery support agencies for built environment (energy services).</w:t>
      </w:r>
    </w:p>
    <w:p w14:paraId="29B10890" w14:textId="5F968739" w:rsidR="00DD2A1D" w:rsidRDefault="00DD2A1D" w:rsidP="70E080EC">
      <w:pPr>
        <w:pStyle w:val="BodyText"/>
        <w:jc w:val="both"/>
      </w:pPr>
      <w:r>
        <w:t>Where an energy emergency has had a broader impact across the Social, Economic, Built and Natural environments</w:t>
      </w:r>
      <w:r w:rsidR="0AC9EE02">
        <w:t>,</w:t>
      </w:r>
      <w:r>
        <w:t xml:space="preserve"> recovery activities will be led by the relevant Recovery Lead Agency (</w:t>
      </w:r>
      <w:proofErr w:type="spellStart"/>
      <w:r>
        <w:t>RecLA</w:t>
      </w:r>
      <w:proofErr w:type="spellEnd"/>
      <w:r>
        <w:t>), with support from Recovery Support Agencies (</w:t>
      </w:r>
      <w:proofErr w:type="spellStart"/>
      <w:r>
        <w:t>RelSAs</w:t>
      </w:r>
      <w:proofErr w:type="spellEnd"/>
      <w:r>
        <w:t>).</w:t>
      </w:r>
    </w:p>
    <w:p w14:paraId="761B95C1" w14:textId="627A9D1B" w:rsidR="00B84849" w:rsidRDefault="00B84849">
      <w:pPr>
        <w:rPr>
          <w:rStyle w:val="Heading4Char"/>
          <w:i w:val="0"/>
          <w:iCs w:val="0"/>
          <w:lang w:eastAsia="en-US"/>
        </w:rPr>
      </w:pPr>
      <w:r>
        <w:rPr>
          <w:rStyle w:val="Heading4Char"/>
          <w:i w:val="0"/>
          <w:iCs w:val="0"/>
        </w:rPr>
        <w:br w:type="page"/>
      </w:r>
    </w:p>
    <w:p w14:paraId="06060FCD" w14:textId="3CEF7965" w:rsidR="00DD2BEA" w:rsidRDefault="00DD2A1D" w:rsidP="00DD2BEA">
      <w:pPr>
        <w:pStyle w:val="Heading1"/>
      </w:pPr>
      <w:bookmarkStart w:id="1731" w:name="_Toc90319425"/>
      <w:bookmarkStart w:id="1732" w:name="_Toc201503330"/>
      <w:bookmarkStart w:id="1733" w:name="_Toc1680557092"/>
      <w:bookmarkStart w:id="1734" w:name="_Toc1424104295"/>
      <w:bookmarkStart w:id="1735" w:name="_Toc2130415450"/>
      <w:bookmarkStart w:id="1736" w:name="_Toc1479145943"/>
      <w:bookmarkStart w:id="1737" w:name="_Toc1812334212"/>
      <w:bookmarkStart w:id="1738" w:name="_Toc1536105974"/>
      <w:bookmarkStart w:id="1739" w:name="_Toc703183778"/>
      <w:bookmarkStart w:id="1740" w:name="_Toc1762319921"/>
      <w:bookmarkStart w:id="1741" w:name="_Toc144555670"/>
      <w:bookmarkStart w:id="1742" w:name="_Toc284863279"/>
      <w:bookmarkStart w:id="1743" w:name="_Toc1947853858"/>
      <w:bookmarkStart w:id="1744" w:name="_Toc618802518"/>
      <w:bookmarkStart w:id="1745" w:name="_Toc1361509477"/>
      <w:bookmarkStart w:id="1746" w:name="_Toc1425232703"/>
      <w:bookmarkStart w:id="1747" w:name="_Toc838707777"/>
      <w:bookmarkStart w:id="1748" w:name="_Toc1253435757"/>
      <w:bookmarkStart w:id="1749" w:name="_Toc1665403349"/>
      <w:bookmarkStart w:id="1750" w:name="_Toc1838913793"/>
      <w:bookmarkStart w:id="1751" w:name="_Toc887074727"/>
      <w:bookmarkStart w:id="1752" w:name="_Toc158390900"/>
      <w:bookmarkStart w:id="1753" w:name="_Toc1185632654"/>
      <w:bookmarkStart w:id="1754" w:name="_Toc1113703043"/>
      <w:bookmarkStart w:id="1755" w:name="_Toc813267766"/>
      <w:bookmarkStart w:id="1756" w:name="_Toc1089211666"/>
      <w:bookmarkStart w:id="1757" w:name="_Toc701268760"/>
      <w:bookmarkStart w:id="1758" w:name="_Toc885122937"/>
      <w:bookmarkStart w:id="1759" w:name="_Toc1074656170"/>
      <w:bookmarkStart w:id="1760" w:name="_Toc1960522927"/>
      <w:bookmarkStart w:id="1761" w:name="_Toc686299062"/>
      <w:bookmarkStart w:id="1762" w:name="_Toc480544960"/>
      <w:bookmarkStart w:id="1763" w:name="_Toc1951675084"/>
      <w:bookmarkStart w:id="1764" w:name="_Toc245830363"/>
      <w:bookmarkStart w:id="1765" w:name="_Toc1622017824"/>
      <w:bookmarkStart w:id="1766" w:name="_Toc1140121135"/>
      <w:bookmarkStart w:id="1767" w:name="_Toc1241805369"/>
      <w:bookmarkStart w:id="1768" w:name="_Toc1199321537"/>
      <w:bookmarkStart w:id="1769" w:name="_Toc202711751"/>
      <w:bookmarkStart w:id="1770" w:name="_Toc292967651"/>
      <w:bookmarkStart w:id="1771" w:name="_Toc560812353"/>
      <w:bookmarkStart w:id="1772" w:name="_Toc1334116973"/>
      <w:bookmarkStart w:id="1773" w:name="_Toc1612162545"/>
      <w:bookmarkStart w:id="1774" w:name="_Toc1253435727"/>
      <w:bookmarkStart w:id="1775" w:name="_Toc291564340"/>
      <w:bookmarkStart w:id="1776" w:name="_Toc1050148541"/>
      <w:bookmarkStart w:id="1777" w:name="_Toc94013210"/>
      <w:bookmarkStart w:id="1778" w:name="_Toc82350816"/>
      <w:bookmarkStart w:id="1779" w:name="_Toc82162556"/>
      <w:bookmarkStart w:id="1780" w:name="_Toc82274463"/>
      <w:bookmarkStart w:id="1781" w:name="_Toc82350814"/>
      <w:bookmarkStart w:id="1782" w:name="_Toc82274520"/>
      <w:bookmarkStart w:id="1783" w:name="_Toc56678610"/>
      <w:bookmarkStart w:id="1784" w:name="_Toc73015571"/>
      <w:bookmarkStart w:id="1785" w:name="_Toc73015664"/>
      <w:bookmarkStart w:id="1786" w:name="_Toc73541440"/>
      <w:r>
        <w:lastRenderedPageBreak/>
        <w:t xml:space="preserve">Appendix A: Triggers for major emergencies (electricity, </w:t>
      </w:r>
      <w:proofErr w:type="gramStart"/>
      <w:r>
        <w:t>gas</w:t>
      </w:r>
      <w:proofErr w:type="gramEnd"/>
      <w:r>
        <w:t xml:space="preserve"> </w:t>
      </w:r>
      <w:r w:rsidRPr="00DD2BEA">
        <w:t>and liquid fuels)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596BDEF1" w14:textId="133FF2F2" w:rsidR="00B545E0" w:rsidRPr="00B545E0" w:rsidRDefault="00B545E0" w:rsidP="00B545E0">
      <w:pPr>
        <w:pStyle w:val="Heading2"/>
      </w:pPr>
      <w:bookmarkStart w:id="1787" w:name="_Toc94013211"/>
      <w:r>
        <w:t>Electricity</w:t>
      </w:r>
      <w:bookmarkEnd w:id="1787"/>
      <w:r>
        <w:t xml:space="preserve"> </w:t>
      </w:r>
    </w:p>
    <w:tbl>
      <w:tblPr>
        <w:tblStyle w:val="TableGrid3"/>
        <w:tblpPr w:leftFromText="180" w:rightFromText="180" w:vertAnchor="text" w:tblpY="1"/>
        <w:tblOverlap w:val="never"/>
        <w:tblW w:w="8657" w:type="dxa"/>
        <w:tblCellSpacing w:w="28" w:type="dxa"/>
        <w:tblLook w:val="04A0" w:firstRow="1" w:lastRow="0" w:firstColumn="1" w:lastColumn="0" w:noHBand="0" w:noVBand="1"/>
      </w:tblPr>
      <w:tblGrid>
        <w:gridCol w:w="867"/>
        <w:gridCol w:w="729"/>
        <w:gridCol w:w="2383"/>
        <w:gridCol w:w="2338"/>
        <w:gridCol w:w="2340"/>
      </w:tblGrid>
      <w:tr w:rsidR="00DD2BEA" w:rsidRPr="00DD2BEA" w14:paraId="1C7FF512" w14:textId="77777777" w:rsidTr="70E080EC">
        <w:trPr>
          <w:cantSplit/>
          <w:trHeight w:val="926"/>
          <w:tblCellSpacing w:w="28" w:type="dxa"/>
        </w:trPr>
        <w:tc>
          <w:tcPr>
            <w:tcW w:w="1512" w:type="dxa"/>
            <w:gridSpan w:val="2"/>
            <w:tcBorders>
              <w:top w:val="nil"/>
              <w:left w:val="nil"/>
              <w:bottom w:val="nil"/>
              <w:right w:val="nil"/>
            </w:tcBorders>
            <w:textDirection w:val="btLr"/>
          </w:tcPr>
          <w:p w14:paraId="3198D3B6" w14:textId="77777777" w:rsidR="00DD2BEA" w:rsidRPr="00DD2BEA" w:rsidRDefault="00DD2BEA" w:rsidP="00DD2BEA">
            <w:pPr>
              <w:jc w:val="center"/>
              <w:rPr>
                <w:rFonts w:ascii="Arial" w:hAnsi="Arial"/>
                <w:b/>
                <w:bCs/>
                <w:color w:val="FFFFFF"/>
                <w:sz w:val="24"/>
                <w:szCs w:val="24"/>
              </w:rPr>
            </w:pPr>
            <w:bookmarkStart w:id="1788" w:name="_Hlk94010191"/>
            <w:r w:rsidRPr="00DD2BEA">
              <w:rPr>
                <w:rFonts w:ascii="Arial" w:hAnsi="Arial"/>
                <w:b/>
                <w:bCs/>
                <w:noProof/>
                <w:color w:val="FFFFFF"/>
                <w:sz w:val="30"/>
                <w:szCs w:val="30"/>
              </w:rPr>
              <w:drawing>
                <wp:anchor distT="0" distB="0" distL="114300" distR="114300" simplePos="0" relativeHeight="251656192" behindDoc="0" locked="0" layoutInCell="1" allowOverlap="1" wp14:anchorId="49DBBC7B" wp14:editId="0DDAA2C3">
                  <wp:simplePos x="0" y="0"/>
                  <wp:positionH relativeFrom="column">
                    <wp:posOffset>216295</wp:posOffset>
                  </wp:positionH>
                  <wp:positionV relativeFrom="paragraph">
                    <wp:posOffset>-502285</wp:posOffset>
                  </wp:positionV>
                  <wp:extent cx="409433" cy="409433"/>
                  <wp:effectExtent l="0" t="0" r="0" b="0"/>
                  <wp:wrapSquare wrapText="bothSides"/>
                  <wp:docPr id="106" name="Graphic 106" descr="Electric Tow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lectric Tower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09433" cy="409433"/>
                          </a:xfrm>
                          <a:prstGeom prst="rect">
                            <a:avLst/>
                          </a:prstGeom>
                        </pic:spPr>
                      </pic:pic>
                    </a:graphicData>
                  </a:graphic>
                </wp:anchor>
              </w:drawing>
            </w:r>
          </w:p>
        </w:tc>
        <w:tc>
          <w:tcPr>
            <w:tcW w:w="6977" w:type="dxa"/>
            <w:gridSpan w:val="3"/>
            <w:tcBorders>
              <w:top w:val="nil"/>
              <w:left w:val="nil"/>
              <w:bottom w:val="nil"/>
              <w:right w:val="nil"/>
            </w:tcBorders>
            <w:shd w:val="clear" w:color="auto" w:fill="E7E6E6"/>
            <w:vAlign w:val="center"/>
          </w:tcPr>
          <w:p w14:paraId="4EFEB559" w14:textId="77777777" w:rsidR="00DD2BEA" w:rsidRPr="00DD2BEA" w:rsidRDefault="00DD2BEA" w:rsidP="00DD2BEA">
            <w:pPr>
              <w:rPr>
                <w:rFonts w:ascii="Arial" w:hAnsi="Arial"/>
                <w:b/>
                <w:bCs/>
                <w:sz w:val="24"/>
                <w:szCs w:val="24"/>
              </w:rPr>
            </w:pPr>
            <w:r w:rsidRPr="00DD2BEA">
              <w:rPr>
                <w:rFonts w:ascii="Arial" w:hAnsi="Arial"/>
                <w:b/>
                <w:bCs/>
                <w:sz w:val="32"/>
                <w:szCs w:val="32"/>
              </w:rPr>
              <w:t>Class 2 energy emergency (electricity)</w:t>
            </w:r>
          </w:p>
        </w:tc>
      </w:tr>
      <w:tr w:rsidR="00DD2BEA" w:rsidRPr="00DD2BEA" w14:paraId="5D77E6BC" w14:textId="77777777" w:rsidTr="70E080EC">
        <w:trPr>
          <w:cantSplit/>
          <w:trHeight w:val="495"/>
          <w:tblCellSpacing w:w="28" w:type="dxa"/>
        </w:trPr>
        <w:tc>
          <w:tcPr>
            <w:tcW w:w="8545" w:type="dxa"/>
            <w:gridSpan w:val="5"/>
            <w:tcBorders>
              <w:top w:val="single" w:sz="12" w:space="0" w:color="FF0000"/>
              <w:left w:val="single" w:sz="12" w:space="0" w:color="FF0000"/>
              <w:bottom w:val="single" w:sz="12" w:space="0" w:color="FF0000"/>
              <w:right w:val="single" w:sz="12" w:space="0" w:color="FF0000"/>
            </w:tcBorders>
            <w:shd w:val="clear" w:color="auto" w:fill="FFAFAF"/>
            <w:vAlign w:val="center"/>
          </w:tcPr>
          <w:p w14:paraId="73E96FEE" w14:textId="77777777" w:rsidR="00DD2BEA" w:rsidRPr="00DD2BEA" w:rsidRDefault="00DD2BEA" w:rsidP="00DE7FEC">
            <w:pPr>
              <w:ind w:left="1510"/>
              <w:jc w:val="both"/>
              <w:rPr>
                <w:rFonts w:ascii="Arial" w:hAnsi="Arial"/>
                <w:b/>
                <w:bCs/>
                <w:color w:val="FFFFFF"/>
                <w:sz w:val="32"/>
                <w:szCs w:val="32"/>
              </w:rPr>
            </w:pPr>
            <w:r w:rsidRPr="00DD2BEA">
              <w:rPr>
                <w:rFonts w:ascii="Arial" w:hAnsi="Arial"/>
                <w:b/>
                <w:bCs/>
                <w:color w:val="FFFFFF"/>
                <w:sz w:val="32"/>
                <w:szCs w:val="32"/>
              </w:rPr>
              <w:t>Triggers</w:t>
            </w:r>
          </w:p>
        </w:tc>
      </w:tr>
      <w:tr w:rsidR="00DD2BEA" w:rsidRPr="00DD2BEA" w14:paraId="631905FE" w14:textId="77777777" w:rsidTr="70E080EC">
        <w:trPr>
          <w:cantSplit/>
          <w:trHeight w:val="1134"/>
          <w:tblCellSpacing w:w="28" w:type="dxa"/>
        </w:trPr>
        <w:tc>
          <w:tcPr>
            <w:tcW w:w="783" w:type="dxa"/>
            <w:vMerge w:val="restart"/>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5BDB9C14" w14:textId="77777777" w:rsidR="00DD2BEA" w:rsidRPr="00DD2BEA" w:rsidRDefault="00DD2BEA" w:rsidP="00DD2BEA">
            <w:pPr>
              <w:jc w:val="center"/>
              <w:rPr>
                <w:rFonts w:ascii="Arial" w:hAnsi="Arial"/>
                <w:b/>
                <w:bCs/>
                <w:color w:val="FFFFFF"/>
                <w:sz w:val="32"/>
                <w:szCs w:val="32"/>
              </w:rPr>
            </w:pPr>
            <w:bookmarkStart w:id="1789" w:name="_Hlk94010066"/>
            <w:r w:rsidRPr="00DD2BEA">
              <w:rPr>
                <w:rFonts w:ascii="Arial" w:hAnsi="Arial"/>
                <w:b/>
                <w:bCs/>
                <w:color w:val="FFFFFF"/>
                <w:sz w:val="32"/>
                <w:szCs w:val="32"/>
              </w:rPr>
              <w:t>Major emergency</w:t>
            </w:r>
          </w:p>
        </w:tc>
        <w:tc>
          <w:tcPr>
            <w:tcW w:w="673"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12FF86AE" w14:textId="77777777" w:rsidR="00DD2BEA" w:rsidRPr="00DD2BEA" w:rsidRDefault="00DD2BEA" w:rsidP="00DD2BEA">
            <w:pPr>
              <w:jc w:val="center"/>
              <w:rPr>
                <w:rFonts w:ascii="Arial" w:hAnsi="Arial"/>
                <w:b/>
                <w:bCs/>
                <w:color w:val="FFFFFF"/>
                <w:sz w:val="24"/>
                <w:szCs w:val="24"/>
              </w:rPr>
            </w:pPr>
            <w:r w:rsidRPr="00DD2BEA">
              <w:rPr>
                <w:rFonts w:ascii="Arial" w:hAnsi="Arial"/>
                <w:b/>
                <w:bCs/>
                <w:color w:val="FFFFFF"/>
                <w:sz w:val="24"/>
                <w:szCs w:val="24"/>
              </w:rPr>
              <w:t>Forecast</w:t>
            </w:r>
          </w:p>
        </w:tc>
        <w:tc>
          <w:tcPr>
            <w:tcW w:w="2327" w:type="dxa"/>
            <w:tcBorders>
              <w:top w:val="single" w:sz="12" w:space="0" w:color="FF0000"/>
              <w:left w:val="single" w:sz="12" w:space="0" w:color="FF0000"/>
              <w:bottom w:val="single" w:sz="12" w:space="0" w:color="FF0000"/>
              <w:right w:val="single" w:sz="12" w:space="0" w:color="FF0000"/>
            </w:tcBorders>
          </w:tcPr>
          <w:p w14:paraId="6FDE8BC3" w14:textId="77777777" w:rsidR="00DD2BEA" w:rsidRPr="00DD2BEA" w:rsidRDefault="00DD2BEA" w:rsidP="00DD2BEA">
            <w:pPr>
              <w:spacing w:before="40"/>
              <w:rPr>
                <w:rFonts w:ascii="Arial" w:hAnsi="Arial"/>
                <w:sz w:val="16"/>
                <w:szCs w:val="16"/>
              </w:rPr>
            </w:pPr>
            <w:r w:rsidRPr="00DD2BEA">
              <w:rPr>
                <w:rFonts w:ascii="Arial" w:hAnsi="Arial"/>
                <w:b/>
                <w:bCs/>
                <w:sz w:val="16"/>
                <w:szCs w:val="16"/>
              </w:rPr>
              <w:t>Weather forecast</w:t>
            </w:r>
          </w:p>
          <w:p w14:paraId="47A4ADC7" w14:textId="77777777" w:rsidR="00DD2BEA" w:rsidRPr="00DD2BEA" w:rsidRDefault="00DD2BEA" w:rsidP="00DD2BEA">
            <w:pPr>
              <w:spacing w:before="40"/>
              <w:rPr>
                <w:rFonts w:ascii="Arial" w:hAnsi="Arial"/>
                <w:sz w:val="16"/>
                <w:szCs w:val="16"/>
              </w:rPr>
            </w:pPr>
            <w:r w:rsidRPr="70E080EC">
              <w:rPr>
                <w:rFonts w:ascii="Arial" w:hAnsi="Arial"/>
                <w:sz w:val="16"/>
                <w:szCs w:val="16"/>
              </w:rPr>
              <w:t xml:space="preserve">Heat Health Alert issued and </w:t>
            </w:r>
            <w:bookmarkStart w:id="1790" w:name="_Int_HhNyNoTW"/>
            <w:proofErr w:type="gramStart"/>
            <w:r w:rsidRPr="70E080EC">
              <w:rPr>
                <w:rFonts w:ascii="Arial" w:hAnsi="Arial"/>
                <w:sz w:val="16"/>
                <w:szCs w:val="16"/>
              </w:rPr>
              <w:t>remains</w:t>
            </w:r>
            <w:bookmarkEnd w:id="1790"/>
            <w:proofErr w:type="gramEnd"/>
            <w:r w:rsidRPr="70E080EC">
              <w:rPr>
                <w:rFonts w:ascii="Arial" w:hAnsi="Arial"/>
                <w:sz w:val="16"/>
                <w:szCs w:val="16"/>
              </w:rPr>
              <w:t xml:space="preserve"> current for the next 24 hours for:</w:t>
            </w:r>
          </w:p>
          <w:p w14:paraId="13AB818A" w14:textId="77777777" w:rsidR="00DD2BEA" w:rsidRPr="00DD2BEA" w:rsidRDefault="00DD2BEA" w:rsidP="008D63F8">
            <w:pPr>
              <w:numPr>
                <w:ilvl w:val="0"/>
                <w:numId w:val="28"/>
              </w:numPr>
              <w:spacing w:before="40"/>
              <w:ind w:left="219" w:hanging="219"/>
              <w:rPr>
                <w:rFonts w:ascii="Arial" w:eastAsia="MS Mincho" w:hAnsi="Arial"/>
                <w:sz w:val="16"/>
                <w:szCs w:val="16"/>
              </w:rPr>
            </w:pPr>
            <w:r w:rsidRPr="00DD2BEA">
              <w:rPr>
                <w:rFonts w:ascii="Arial" w:eastAsia="MS Mincho" w:hAnsi="Arial"/>
                <w:sz w:val="16"/>
                <w:szCs w:val="16"/>
              </w:rPr>
              <w:t>three or more regions, and/or</w:t>
            </w:r>
          </w:p>
          <w:p w14:paraId="3595413B" w14:textId="77777777" w:rsidR="00DD2BEA" w:rsidRPr="00DD2BEA" w:rsidRDefault="00DD2BEA" w:rsidP="00DD2BEA">
            <w:pPr>
              <w:numPr>
                <w:ilvl w:val="0"/>
                <w:numId w:val="28"/>
              </w:numPr>
              <w:spacing w:before="40"/>
              <w:ind w:left="219" w:hanging="219"/>
              <w:rPr>
                <w:rFonts w:ascii="Arial" w:hAnsi="Arial"/>
                <w:sz w:val="16"/>
                <w:szCs w:val="16"/>
              </w:rPr>
            </w:pPr>
            <w:r w:rsidRPr="00DD2BEA">
              <w:rPr>
                <w:rFonts w:ascii="Arial" w:hAnsi="Arial"/>
                <w:sz w:val="16"/>
                <w:szCs w:val="16"/>
              </w:rPr>
              <w:t>the "Central' region.</w:t>
            </w:r>
          </w:p>
          <w:p w14:paraId="39F453D1" w14:textId="77777777" w:rsidR="00DD2BEA" w:rsidRPr="00DD2BEA" w:rsidRDefault="00DD2BEA" w:rsidP="00DD2BEA">
            <w:pPr>
              <w:spacing w:before="40"/>
              <w:rPr>
                <w:rFonts w:ascii="Arial" w:hAnsi="Arial"/>
                <w:sz w:val="16"/>
                <w:szCs w:val="16"/>
              </w:rPr>
            </w:pPr>
            <w:r w:rsidRPr="00DD2BEA">
              <w:rPr>
                <w:rFonts w:ascii="Arial" w:hAnsi="Arial"/>
                <w:sz w:val="16"/>
                <w:szCs w:val="16"/>
              </w:rPr>
              <w:t>Fire danger rating of Extreme or Code Red.</w:t>
            </w:r>
          </w:p>
          <w:p w14:paraId="6D405B87" w14:textId="77777777" w:rsidR="00DD2BEA" w:rsidRPr="00DD2BEA" w:rsidRDefault="00DD2BEA" w:rsidP="00DD2BEA">
            <w:pPr>
              <w:spacing w:before="40"/>
              <w:rPr>
                <w:rFonts w:ascii="Arial" w:hAnsi="Arial"/>
                <w:sz w:val="16"/>
                <w:szCs w:val="16"/>
              </w:rPr>
            </w:pPr>
            <w:r w:rsidRPr="00DD2BEA">
              <w:rPr>
                <w:rFonts w:ascii="Arial" w:hAnsi="Arial"/>
                <w:sz w:val="16"/>
                <w:szCs w:val="16"/>
              </w:rPr>
              <w:t>Forecast wind gusts over 110km/h, and 130 km/h in Alpine areas.</w:t>
            </w:r>
          </w:p>
          <w:p w14:paraId="59044BBE" w14:textId="77777777" w:rsidR="00DD2BEA" w:rsidRPr="00DD2BEA" w:rsidRDefault="00DD2BEA" w:rsidP="00DD2BEA">
            <w:pPr>
              <w:spacing w:before="40"/>
              <w:rPr>
                <w:rFonts w:ascii="Arial" w:hAnsi="Arial"/>
                <w:sz w:val="16"/>
                <w:szCs w:val="16"/>
              </w:rPr>
            </w:pPr>
            <w:r w:rsidRPr="00DD2BEA">
              <w:rPr>
                <w:rFonts w:ascii="Arial" w:hAnsi="Arial"/>
                <w:sz w:val="16"/>
                <w:szCs w:val="16"/>
              </w:rPr>
              <w:t>Two days with maximum forecast temperatures more than 45</w:t>
            </w:r>
            <w:r w:rsidRPr="00DD2BEA">
              <w:rPr>
                <w:rFonts w:ascii="Arial" w:hAnsi="Arial"/>
                <w:sz w:val="16"/>
                <w:szCs w:val="16"/>
                <w:vertAlign w:val="superscript"/>
              </w:rPr>
              <w:t>o</w:t>
            </w:r>
            <w:r w:rsidRPr="00DD2BEA">
              <w:rPr>
                <w:rFonts w:ascii="Arial" w:hAnsi="Arial"/>
                <w:sz w:val="16"/>
                <w:szCs w:val="16"/>
              </w:rPr>
              <w:t>c in any weather district</w:t>
            </w:r>
          </w:p>
          <w:p w14:paraId="14DAA20D" w14:textId="77777777" w:rsidR="00DD2BEA" w:rsidRPr="00DD2BEA" w:rsidRDefault="00DD2BEA" w:rsidP="00DD2BEA">
            <w:pPr>
              <w:spacing w:before="40"/>
              <w:rPr>
                <w:rFonts w:ascii="Arial" w:hAnsi="Arial"/>
                <w:sz w:val="16"/>
                <w:szCs w:val="16"/>
              </w:rPr>
            </w:pPr>
            <w:r w:rsidRPr="00DD2BEA">
              <w:rPr>
                <w:rFonts w:ascii="Arial" w:hAnsi="Arial"/>
                <w:sz w:val="16"/>
                <w:szCs w:val="16"/>
              </w:rPr>
              <w:t>Two days with maximum forecast temperatures more than 38</w:t>
            </w:r>
            <w:r w:rsidRPr="00DD2BEA">
              <w:rPr>
                <w:rFonts w:ascii="Arial" w:hAnsi="Arial"/>
                <w:sz w:val="16"/>
                <w:szCs w:val="16"/>
                <w:vertAlign w:val="superscript"/>
              </w:rPr>
              <w:t>o</w:t>
            </w:r>
            <w:r w:rsidRPr="00DD2BEA">
              <w:rPr>
                <w:rFonts w:ascii="Arial" w:hAnsi="Arial"/>
                <w:sz w:val="16"/>
                <w:szCs w:val="16"/>
              </w:rPr>
              <w:t>c in the central weather forecast district.</w:t>
            </w:r>
          </w:p>
        </w:tc>
        <w:tc>
          <w:tcPr>
            <w:tcW w:w="2282" w:type="dxa"/>
            <w:tcBorders>
              <w:top w:val="single" w:sz="12" w:space="0" w:color="FF0000"/>
              <w:left w:val="single" w:sz="12" w:space="0" w:color="FF0000"/>
              <w:bottom w:val="single" w:sz="12" w:space="0" w:color="FF0000"/>
              <w:right w:val="single" w:sz="12" w:space="0" w:color="FF0000"/>
            </w:tcBorders>
          </w:tcPr>
          <w:p w14:paraId="22878106" w14:textId="77777777" w:rsidR="00DD2BEA" w:rsidRPr="00DD2BEA" w:rsidRDefault="00DD2BEA" w:rsidP="00DD2BEA">
            <w:pPr>
              <w:spacing w:before="40"/>
              <w:rPr>
                <w:rFonts w:ascii="Arial" w:hAnsi="Arial"/>
                <w:sz w:val="16"/>
                <w:szCs w:val="16"/>
              </w:rPr>
            </w:pPr>
            <w:r w:rsidRPr="00DD2BEA">
              <w:rPr>
                <w:rFonts w:ascii="Arial" w:hAnsi="Arial"/>
                <w:b/>
                <w:bCs/>
                <w:sz w:val="16"/>
                <w:szCs w:val="16"/>
              </w:rPr>
              <w:t>Forecast reserves, supply, demand</w:t>
            </w:r>
          </w:p>
          <w:p w14:paraId="436D94C7" w14:textId="77777777" w:rsidR="00DD2BEA" w:rsidRPr="00DD2BEA" w:rsidRDefault="00DD2BEA" w:rsidP="00DD2BEA">
            <w:pPr>
              <w:spacing w:before="40"/>
              <w:rPr>
                <w:rFonts w:ascii="Arial" w:hAnsi="Arial"/>
                <w:sz w:val="16"/>
                <w:szCs w:val="16"/>
              </w:rPr>
            </w:pPr>
            <w:r w:rsidRPr="00DD2BEA">
              <w:rPr>
                <w:rFonts w:ascii="Arial" w:hAnsi="Arial"/>
                <w:sz w:val="16"/>
                <w:szCs w:val="16"/>
              </w:rPr>
              <w:t>AEMO issues a forecast LOR3 market notice</w:t>
            </w:r>
          </w:p>
          <w:p w14:paraId="5DF168B6" w14:textId="77777777" w:rsidR="00DD2BEA" w:rsidRPr="00DD2BEA" w:rsidRDefault="00DD2BEA" w:rsidP="00DD2BEA">
            <w:pPr>
              <w:spacing w:before="40"/>
              <w:rPr>
                <w:rFonts w:ascii="Arial" w:hAnsi="Arial"/>
                <w:sz w:val="16"/>
                <w:szCs w:val="16"/>
              </w:rPr>
            </w:pPr>
            <w:r w:rsidRPr="00DD2BEA">
              <w:rPr>
                <w:rFonts w:ascii="Arial" w:hAnsi="Arial"/>
                <w:sz w:val="16"/>
                <w:szCs w:val="16"/>
              </w:rPr>
              <w:t>AEMO notifies DELWP there is a potential for load shedding following Vic RO’s assessment of reserve conditions.</w:t>
            </w:r>
          </w:p>
          <w:p w14:paraId="114B06D4"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An event is about to occur which may endanger an undertaking of a distribution company, a transmission company or a generation company or a person who supplies electricity to another person or materially affect the safe, </w:t>
            </w:r>
            <w:proofErr w:type="gramStart"/>
            <w:r w:rsidRPr="00DD2BEA">
              <w:rPr>
                <w:rFonts w:ascii="Arial" w:hAnsi="Arial"/>
                <w:sz w:val="16"/>
                <w:szCs w:val="16"/>
              </w:rPr>
              <w:t>economical</w:t>
            </w:r>
            <w:proofErr w:type="gramEnd"/>
            <w:r w:rsidRPr="00DD2BEA">
              <w:rPr>
                <w:rFonts w:ascii="Arial" w:hAnsi="Arial"/>
                <w:sz w:val="16"/>
                <w:szCs w:val="16"/>
              </w:rPr>
              <w:t xml:space="preserve"> or effective supply of electricity.</w:t>
            </w:r>
          </w:p>
          <w:p w14:paraId="0651BE66" w14:textId="77777777" w:rsidR="00DD2BEA" w:rsidRPr="00DD2BEA" w:rsidRDefault="00DD2BEA" w:rsidP="00DD2BEA">
            <w:pPr>
              <w:spacing w:before="40"/>
              <w:rPr>
                <w:rFonts w:ascii="Arial" w:hAnsi="Arial"/>
                <w:sz w:val="16"/>
                <w:szCs w:val="16"/>
              </w:rPr>
            </w:pPr>
          </w:p>
        </w:tc>
        <w:tc>
          <w:tcPr>
            <w:tcW w:w="2256" w:type="dxa"/>
            <w:tcBorders>
              <w:top w:val="single" w:sz="12" w:space="0" w:color="FF0000"/>
              <w:left w:val="single" w:sz="12" w:space="0" w:color="FF0000"/>
              <w:bottom w:val="single" w:sz="12" w:space="0" w:color="FF0000"/>
              <w:right w:val="single" w:sz="12" w:space="0" w:color="FF0000"/>
            </w:tcBorders>
          </w:tcPr>
          <w:p w14:paraId="0901F832" w14:textId="77777777" w:rsidR="00DD2BEA" w:rsidRPr="00DD2BEA" w:rsidRDefault="00DD2BEA" w:rsidP="00DD2BEA">
            <w:pPr>
              <w:spacing w:before="40"/>
              <w:rPr>
                <w:rFonts w:ascii="Arial" w:hAnsi="Arial"/>
                <w:sz w:val="16"/>
                <w:szCs w:val="16"/>
              </w:rPr>
            </w:pPr>
            <w:r w:rsidRPr="00DD2BEA">
              <w:rPr>
                <w:rFonts w:ascii="Arial" w:hAnsi="Arial"/>
                <w:b/>
                <w:bCs/>
                <w:sz w:val="16"/>
                <w:szCs w:val="16"/>
              </w:rPr>
              <w:t xml:space="preserve">Other conditions </w:t>
            </w:r>
          </w:p>
          <w:p w14:paraId="2B9B3EED" w14:textId="77777777" w:rsidR="00DD2BEA" w:rsidRPr="00DD2BEA" w:rsidRDefault="00DD2BEA" w:rsidP="00DD2BEA">
            <w:pPr>
              <w:spacing w:before="40"/>
              <w:rPr>
                <w:rFonts w:ascii="Arial" w:hAnsi="Arial"/>
                <w:sz w:val="16"/>
                <w:szCs w:val="16"/>
              </w:rPr>
            </w:pPr>
            <w:r w:rsidRPr="00DD2BEA">
              <w:rPr>
                <w:rFonts w:ascii="Arial" w:hAnsi="Arial"/>
                <w:sz w:val="16"/>
                <w:szCs w:val="16"/>
              </w:rPr>
              <w:t>A gas supply shortage threatens the operation of gas-fired power stations.</w:t>
            </w:r>
          </w:p>
          <w:p w14:paraId="7DC9DCBD"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High profile event, </w:t>
            </w:r>
            <w:proofErr w:type="gramStart"/>
            <w:r w:rsidRPr="00DD2BEA">
              <w:rPr>
                <w:rFonts w:ascii="Arial" w:hAnsi="Arial"/>
                <w:sz w:val="16"/>
                <w:szCs w:val="16"/>
              </w:rPr>
              <w:t>threat</w:t>
            </w:r>
            <w:proofErr w:type="gramEnd"/>
            <w:r w:rsidRPr="00DD2BEA">
              <w:rPr>
                <w:rFonts w:ascii="Arial" w:hAnsi="Arial"/>
                <w:sz w:val="16"/>
                <w:szCs w:val="16"/>
              </w:rPr>
              <w:t xml:space="preserve"> or natural disaster </w:t>
            </w:r>
          </w:p>
          <w:p w14:paraId="44264C46" w14:textId="77777777" w:rsidR="00DD2BEA" w:rsidRPr="00DD2BEA" w:rsidRDefault="00DD2BEA" w:rsidP="00DD2BEA">
            <w:pPr>
              <w:spacing w:before="40"/>
              <w:rPr>
                <w:rFonts w:ascii="Arial" w:hAnsi="Arial"/>
                <w:sz w:val="16"/>
                <w:szCs w:val="16"/>
              </w:rPr>
            </w:pPr>
            <w:r w:rsidRPr="00DD2BEA">
              <w:rPr>
                <w:rFonts w:ascii="Arial" w:hAnsi="Arial"/>
                <w:sz w:val="16"/>
                <w:szCs w:val="16"/>
              </w:rPr>
              <w:t>Any incident with impact for Victoria that is classified as a Level 4 or Level 5 incident under the PSEMP</w:t>
            </w:r>
          </w:p>
          <w:p w14:paraId="0C48FEF6" w14:textId="77777777" w:rsidR="00DD2BEA" w:rsidRPr="00DD2BEA" w:rsidRDefault="00DD2BEA" w:rsidP="00DD2BEA">
            <w:pPr>
              <w:spacing w:before="40"/>
              <w:rPr>
                <w:rFonts w:ascii="Arial" w:hAnsi="Arial"/>
                <w:sz w:val="16"/>
                <w:szCs w:val="16"/>
              </w:rPr>
            </w:pPr>
            <w:r w:rsidRPr="00DD2BEA">
              <w:rPr>
                <w:rFonts w:ascii="Arial" w:hAnsi="Arial"/>
                <w:sz w:val="16"/>
                <w:szCs w:val="16"/>
              </w:rPr>
              <w:t>Any incident considered likely to escalate to a major energy emergency.</w:t>
            </w:r>
          </w:p>
          <w:p w14:paraId="6769DB90" w14:textId="77777777" w:rsidR="00DD2BEA" w:rsidRPr="00DD2BEA" w:rsidRDefault="00DD2BEA" w:rsidP="00DD2BEA">
            <w:pPr>
              <w:spacing w:before="40"/>
              <w:rPr>
                <w:rFonts w:ascii="Arial" w:hAnsi="Arial"/>
                <w:sz w:val="16"/>
                <w:szCs w:val="16"/>
              </w:rPr>
            </w:pPr>
          </w:p>
        </w:tc>
      </w:tr>
      <w:tr w:rsidR="00DD2BEA" w:rsidRPr="00DD2BEA" w14:paraId="4D9F0FA0" w14:textId="77777777" w:rsidTr="70E080EC">
        <w:trPr>
          <w:cantSplit/>
          <w:trHeight w:val="1134"/>
          <w:tblCellSpacing w:w="28" w:type="dxa"/>
        </w:trPr>
        <w:tc>
          <w:tcPr>
            <w:tcW w:w="783" w:type="dxa"/>
            <w:vMerge/>
            <w:textDirection w:val="btLr"/>
          </w:tcPr>
          <w:p w14:paraId="5207C394" w14:textId="77777777" w:rsidR="00DD2BEA" w:rsidRPr="00DD2BEA" w:rsidRDefault="00DD2BEA" w:rsidP="00DD2BEA">
            <w:pPr>
              <w:jc w:val="center"/>
              <w:rPr>
                <w:rFonts w:ascii="Arial" w:hAnsi="Arial"/>
                <w:b/>
                <w:bCs/>
                <w:color w:val="FFFFFF"/>
                <w:sz w:val="32"/>
                <w:szCs w:val="32"/>
              </w:rPr>
            </w:pPr>
          </w:p>
        </w:tc>
        <w:tc>
          <w:tcPr>
            <w:tcW w:w="673"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0EE6EA99" w14:textId="77777777" w:rsidR="00DD2BEA" w:rsidRPr="00DD2BEA" w:rsidRDefault="00DD2BEA" w:rsidP="00DD2BEA">
            <w:pPr>
              <w:jc w:val="center"/>
              <w:rPr>
                <w:rFonts w:ascii="Arial" w:hAnsi="Arial"/>
                <w:b/>
                <w:bCs/>
                <w:color w:val="FFFFFF"/>
                <w:sz w:val="24"/>
                <w:szCs w:val="24"/>
              </w:rPr>
            </w:pPr>
            <w:r w:rsidRPr="00DD2BEA">
              <w:rPr>
                <w:rFonts w:ascii="Arial" w:hAnsi="Arial"/>
                <w:b/>
                <w:bCs/>
                <w:color w:val="FFFFFF"/>
                <w:sz w:val="24"/>
                <w:szCs w:val="24"/>
              </w:rPr>
              <w:t>Event</w:t>
            </w:r>
          </w:p>
        </w:tc>
        <w:tc>
          <w:tcPr>
            <w:tcW w:w="2327" w:type="dxa"/>
            <w:tcBorders>
              <w:top w:val="single" w:sz="12" w:space="0" w:color="FF0000"/>
              <w:left w:val="single" w:sz="12" w:space="0" w:color="FF0000"/>
              <w:bottom w:val="single" w:sz="12" w:space="0" w:color="FF0000"/>
              <w:right w:val="single" w:sz="12" w:space="0" w:color="FF0000"/>
            </w:tcBorders>
            <w:shd w:val="clear" w:color="auto" w:fill="FFAFAF"/>
          </w:tcPr>
          <w:p w14:paraId="4BC29D4A" w14:textId="77777777" w:rsidR="00DD2BEA" w:rsidRPr="00DD2BEA" w:rsidRDefault="00DD2BEA" w:rsidP="00DD2BEA">
            <w:pPr>
              <w:spacing w:before="40"/>
              <w:rPr>
                <w:rFonts w:ascii="Arial" w:hAnsi="Arial"/>
                <w:sz w:val="16"/>
                <w:szCs w:val="16"/>
              </w:rPr>
            </w:pPr>
            <w:r w:rsidRPr="00DD2BEA">
              <w:rPr>
                <w:rFonts w:ascii="Arial" w:hAnsi="Arial"/>
                <w:b/>
                <w:bCs/>
                <w:sz w:val="16"/>
                <w:szCs w:val="16"/>
              </w:rPr>
              <w:t xml:space="preserve">Power outages </w:t>
            </w:r>
          </w:p>
          <w:p w14:paraId="0418F215" w14:textId="77777777" w:rsidR="00DD2BEA" w:rsidRPr="00DD2BEA" w:rsidRDefault="00DD2BEA" w:rsidP="00DD2BEA">
            <w:pPr>
              <w:spacing w:before="40"/>
              <w:rPr>
                <w:rFonts w:ascii="Arial" w:hAnsi="Arial"/>
                <w:sz w:val="16"/>
                <w:szCs w:val="16"/>
              </w:rPr>
            </w:pPr>
            <w:r w:rsidRPr="00DD2BEA">
              <w:rPr>
                <w:rFonts w:ascii="Arial" w:hAnsi="Arial"/>
                <w:sz w:val="16"/>
                <w:szCs w:val="16"/>
              </w:rPr>
              <w:t>Generation, transmission or distribution equipment failure or disruption (including supply chain disruption) causing outages for:</w:t>
            </w:r>
          </w:p>
          <w:p w14:paraId="4C0BCD12" w14:textId="77777777" w:rsidR="00DD2BEA" w:rsidRPr="00DD2BEA" w:rsidRDefault="00DD2BEA" w:rsidP="00DD2BEA">
            <w:pPr>
              <w:numPr>
                <w:ilvl w:val="0"/>
                <w:numId w:val="27"/>
              </w:numPr>
              <w:tabs>
                <w:tab w:val="clear" w:pos="360"/>
              </w:tabs>
              <w:spacing w:before="40"/>
              <w:ind w:left="219" w:hanging="219"/>
              <w:rPr>
                <w:rFonts w:ascii="Arial" w:hAnsi="Arial"/>
                <w:sz w:val="16"/>
                <w:szCs w:val="16"/>
              </w:rPr>
            </w:pPr>
            <w:r w:rsidRPr="00DD2BEA">
              <w:rPr>
                <w:rFonts w:ascii="Arial" w:hAnsi="Arial"/>
                <w:sz w:val="16"/>
                <w:szCs w:val="16"/>
              </w:rPr>
              <w:t xml:space="preserve">more than 50,000 customers (state-wide) for more than 1 hour, and/or </w:t>
            </w:r>
          </w:p>
          <w:p w14:paraId="7BC70347" w14:textId="77777777" w:rsidR="00DD2BEA" w:rsidRPr="00DD2BEA" w:rsidRDefault="00DD2BEA" w:rsidP="00DD2BEA">
            <w:pPr>
              <w:numPr>
                <w:ilvl w:val="0"/>
                <w:numId w:val="27"/>
              </w:numPr>
              <w:tabs>
                <w:tab w:val="clear" w:pos="360"/>
              </w:tabs>
              <w:spacing w:before="40"/>
              <w:ind w:left="219" w:hanging="219"/>
              <w:rPr>
                <w:rFonts w:ascii="Arial" w:hAnsi="Arial"/>
                <w:sz w:val="16"/>
                <w:szCs w:val="16"/>
              </w:rPr>
            </w:pPr>
            <w:r w:rsidRPr="00DD2BEA">
              <w:rPr>
                <w:rFonts w:ascii="Arial" w:hAnsi="Arial"/>
                <w:sz w:val="16"/>
                <w:szCs w:val="16"/>
              </w:rPr>
              <w:t>more than 20,000 customers in a single disruption area for more than 1 hour, and/or</w:t>
            </w:r>
          </w:p>
          <w:p w14:paraId="1CD5AF89" w14:textId="77777777" w:rsidR="00DD2BEA" w:rsidRPr="00DD2BEA" w:rsidRDefault="00DD2BEA" w:rsidP="00DD2BEA">
            <w:pPr>
              <w:numPr>
                <w:ilvl w:val="0"/>
                <w:numId w:val="27"/>
              </w:numPr>
              <w:tabs>
                <w:tab w:val="clear" w:pos="360"/>
              </w:tabs>
              <w:spacing w:before="40"/>
              <w:ind w:left="219" w:hanging="219"/>
              <w:rPr>
                <w:rFonts w:ascii="Arial" w:hAnsi="Arial"/>
                <w:sz w:val="16"/>
                <w:szCs w:val="16"/>
              </w:rPr>
            </w:pPr>
            <w:r w:rsidRPr="00DD2BEA">
              <w:rPr>
                <w:rFonts w:ascii="Arial" w:hAnsi="Arial"/>
                <w:sz w:val="16"/>
                <w:szCs w:val="16"/>
              </w:rPr>
              <w:t xml:space="preserve">more than </w:t>
            </w:r>
            <w:r w:rsidRPr="00DD2BEA">
              <w:rPr>
                <w:rFonts w:ascii="Arial" w:hAnsi="Arial"/>
                <w:b/>
                <w:bCs/>
                <w:sz w:val="16"/>
                <w:szCs w:val="16"/>
              </w:rPr>
              <w:t>10,000</w:t>
            </w:r>
            <w:r w:rsidRPr="00DD2BEA">
              <w:rPr>
                <w:rFonts w:ascii="Arial" w:hAnsi="Arial"/>
                <w:sz w:val="16"/>
                <w:szCs w:val="16"/>
              </w:rPr>
              <w:t xml:space="preserve"> customers with a return to service estimate of </w:t>
            </w:r>
            <w:r w:rsidRPr="00DD2BEA">
              <w:rPr>
                <w:rFonts w:ascii="Arial" w:hAnsi="Arial"/>
                <w:b/>
                <w:bCs/>
                <w:sz w:val="16"/>
                <w:szCs w:val="16"/>
              </w:rPr>
              <w:t>60</w:t>
            </w:r>
            <w:r w:rsidRPr="00DD2BEA">
              <w:rPr>
                <w:rFonts w:ascii="Arial" w:hAnsi="Arial"/>
                <w:sz w:val="16"/>
                <w:szCs w:val="16"/>
              </w:rPr>
              <w:t xml:space="preserve"> hours, and/or</w:t>
            </w:r>
          </w:p>
          <w:p w14:paraId="4CBBCE3F" w14:textId="77777777" w:rsidR="00DD2BEA" w:rsidRPr="00DD2BEA" w:rsidRDefault="00DD2BEA" w:rsidP="00DD2BEA">
            <w:pPr>
              <w:numPr>
                <w:ilvl w:val="0"/>
                <w:numId w:val="27"/>
              </w:numPr>
              <w:tabs>
                <w:tab w:val="clear" w:pos="360"/>
              </w:tabs>
              <w:spacing w:before="40"/>
              <w:ind w:left="219" w:hanging="219"/>
              <w:rPr>
                <w:rFonts w:ascii="Arial" w:hAnsi="Arial"/>
                <w:sz w:val="16"/>
                <w:szCs w:val="16"/>
              </w:rPr>
            </w:pPr>
            <w:r w:rsidRPr="00DD2BEA">
              <w:rPr>
                <w:rFonts w:ascii="Arial" w:hAnsi="Arial"/>
                <w:sz w:val="16"/>
                <w:szCs w:val="16"/>
              </w:rPr>
              <w:t xml:space="preserve">critical infrastructure, and/or </w:t>
            </w:r>
          </w:p>
          <w:p w14:paraId="5BE4188F" w14:textId="77777777" w:rsidR="00DD2BEA" w:rsidRPr="00DD2BEA" w:rsidRDefault="00DD2BEA" w:rsidP="00DD2BEA">
            <w:pPr>
              <w:numPr>
                <w:ilvl w:val="0"/>
                <w:numId w:val="27"/>
              </w:numPr>
              <w:spacing w:before="40"/>
              <w:rPr>
                <w:rFonts w:ascii="Arial" w:hAnsi="Arial"/>
                <w:sz w:val="16"/>
                <w:szCs w:val="16"/>
              </w:rPr>
            </w:pPr>
            <w:r w:rsidRPr="00DD2BEA">
              <w:rPr>
                <w:rFonts w:ascii="Arial" w:hAnsi="Arial"/>
                <w:sz w:val="16"/>
                <w:szCs w:val="16"/>
              </w:rPr>
              <w:t>industry - resulting in, or likely to result in, significant commercial/industrial impact.</w:t>
            </w:r>
          </w:p>
          <w:p w14:paraId="588EFF56" w14:textId="77777777" w:rsidR="00DD2BEA" w:rsidRPr="00DD2BEA" w:rsidRDefault="00DD2BEA" w:rsidP="00DD2BEA">
            <w:pPr>
              <w:spacing w:before="40"/>
              <w:rPr>
                <w:rFonts w:ascii="Arial" w:hAnsi="Arial"/>
                <w:sz w:val="16"/>
                <w:szCs w:val="16"/>
              </w:rPr>
            </w:pPr>
          </w:p>
        </w:tc>
        <w:tc>
          <w:tcPr>
            <w:tcW w:w="2282" w:type="dxa"/>
            <w:tcBorders>
              <w:top w:val="single" w:sz="12" w:space="0" w:color="FF0000"/>
              <w:left w:val="single" w:sz="12" w:space="0" w:color="FF0000"/>
              <w:bottom w:val="single" w:sz="12" w:space="0" w:color="FF0000"/>
              <w:right w:val="single" w:sz="12" w:space="0" w:color="FF0000"/>
            </w:tcBorders>
            <w:shd w:val="clear" w:color="auto" w:fill="FFAFAF"/>
          </w:tcPr>
          <w:p w14:paraId="00E67AD6" w14:textId="77777777" w:rsidR="00DD2BEA" w:rsidRPr="00DD2BEA" w:rsidRDefault="00DD2BEA" w:rsidP="00DD2BEA">
            <w:pPr>
              <w:spacing w:before="40"/>
              <w:rPr>
                <w:rFonts w:ascii="Arial" w:hAnsi="Arial"/>
                <w:sz w:val="16"/>
                <w:szCs w:val="16"/>
              </w:rPr>
            </w:pPr>
            <w:r w:rsidRPr="00DD2BEA">
              <w:rPr>
                <w:rFonts w:ascii="Arial" w:hAnsi="Arial"/>
                <w:b/>
                <w:bCs/>
                <w:sz w:val="16"/>
                <w:szCs w:val="16"/>
              </w:rPr>
              <w:t>Lack of reserve</w:t>
            </w:r>
          </w:p>
          <w:p w14:paraId="25030922" w14:textId="77777777" w:rsidR="00DD2BEA" w:rsidRPr="00DD2BEA" w:rsidRDefault="00DD2BEA" w:rsidP="00DD2BEA">
            <w:pPr>
              <w:spacing w:before="40"/>
              <w:rPr>
                <w:rFonts w:ascii="Arial" w:hAnsi="Arial"/>
                <w:sz w:val="16"/>
                <w:szCs w:val="16"/>
              </w:rPr>
            </w:pPr>
            <w:r w:rsidRPr="00DD2BEA">
              <w:rPr>
                <w:rFonts w:ascii="Arial" w:hAnsi="Arial"/>
                <w:sz w:val="16"/>
                <w:szCs w:val="16"/>
              </w:rPr>
              <w:t>AEMO issues a market notice for Actual LOR3 conditions.</w:t>
            </w:r>
          </w:p>
          <w:p w14:paraId="00822956" w14:textId="77777777" w:rsidR="00DD2BEA" w:rsidRPr="00DD2BEA" w:rsidRDefault="00DD2BEA" w:rsidP="00DD2BEA">
            <w:pPr>
              <w:spacing w:before="40"/>
              <w:rPr>
                <w:rFonts w:ascii="Arial" w:hAnsi="Arial"/>
                <w:sz w:val="16"/>
                <w:szCs w:val="16"/>
              </w:rPr>
            </w:pPr>
            <w:r w:rsidRPr="00DD2BEA">
              <w:rPr>
                <w:rFonts w:ascii="Arial" w:hAnsi="Arial"/>
                <w:sz w:val="16"/>
                <w:szCs w:val="16"/>
              </w:rPr>
              <w:t>The available supply of electricity is, or is likely to become, less than is sufficient for the reasonable requirements of the community.</w:t>
            </w:r>
          </w:p>
          <w:p w14:paraId="1C7867E7"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An event has occurred which may endanger an undertaking of a distribution company, a transmission company or a generation company or a person who supplies electricity to another person or materially affect the safe, </w:t>
            </w:r>
            <w:proofErr w:type="gramStart"/>
            <w:r w:rsidRPr="00DD2BEA">
              <w:rPr>
                <w:rFonts w:ascii="Arial" w:hAnsi="Arial"/>
                <w:sz w:val="16"/>
                <w:szCs w:val="16"/>
              </w:rPr>
              <w:t>economical</w:t>
            </w:r>
            <w:proofErr w:type="gramEnd"/>
            <w:r w:rsidRPr="00DD2BEA">
              <w:rPr>
                <w:rFonts w:ascii="Arial" w:hAnsi="Arial"/>
                <w:sz w:val="16"/>
                <w:szCs w:val="16"/>
              </w:rPr>
              <w:t xml:space="preserve"> or effective supply of electricity.</w:t>
            </w:r>
          </w:p>
          <w:p w14:paraId="5236C5B9" w14:textId="77777777" w:rsidR="00DD2BEA" w:rsidRPr="00DD2BEA" w:rsidRDefault="00DD2BEA" w:rsidP="00DD2BEA">
            <w:pPr>
              <w:spacing w:before="40"/>
              <w:rPr>
                <w:rFonts w:ascii="Arial" w:hAnsi="Arial"/>
                <w:sz w:val="16"/>
                <w:szCs w:val="16"/>
              </w:rPr>
            </w:pPr>
          </w:p>
        </w:tc>
        <w:tc>
          <w:tcPr>
            <w:tcW w:w="2256" w:type="dxa"/>
            <w:tcBorders>
              <w:top w:val="single" w:sz="12" w:space="0" w:color="FF0000"/>
              <w:left w:val="single" w:sz="12" w:space="0" w:color="FF0000"/>
              <w:bottom w:val="single" w:sz="12" w:space="0" w:color="FF0000"/>
              <w:right w:val="single" w:sz="12" w:space="0" w:color="FF0000"/>
            </w:tcBorders>
            <w:shd w:val="clear" w:color="auto" w:fill="FFAFAF"/>
          </w:tcPr>
          <w:p w14:paraId="1A4C2BC4" w14:textId="77777777" w:rsidR="00DD2BEA" w:rsidRPr="00DD2BEA" w:rsidRDefault="00DD2BEA" w:rsidP="00DD2BEA">
            <w:pPr>
              <w:spacing w:before="40"/>
              <w:rPr>
                <w:rFonts w:ascii="Arial" w:hAnsi="Arial"/>
                <w:sz w:val="16"/>
                <w:szCs w:val="16"/>
              </w:rPr>
            </w:pPr>
            <w:r w:rsidRPr="00DD2BEA">
              <w:rPr>
                <w:rFonts w:ascii="Arial" w:hAnsi="Arial"/>
                <w:b/>
                <w:bCs/>
                <w:sz w:val="16"/>
                <w:szCs w:val="16"/>
              </w:rPr>
              <w:t>Other conditions</w:t>
            </w:r>
          </w:p>
          <w:p w14:paraId="7737C4B5" w14:textId="77777777" w:rsidR="00DD2BEA" w:rsidRPr="00DD2BEA" w:rsidRDefault="00DD2BEA" w:rsidP="00DD2BEA">
            <w:pPr>
              <w:spacing w:before="40"/>
              <w:rPr>
                <w:rFonts w:ascii="Arial" w:hAnsi="Arial"/>
                <w:sz w:val="16"/>
                <w:szCs w:val="16"/>
              </w:rPr>
            </w:pPr>
            <w:r w:rsidRPr="00DD2BEA">
              <w:rPr>
                <w:rFonts w:ascii="Arial" w:hAnsi="Arial"/>
                <w:sz w:val="16"/>
                <w:szCs w:val="16"/>
              </w:rPr>
              <w:t>Any incident attracting or likely to attract significant media or public interest, with a risk of reputational damage to the State.</w:t>
            </w:r>
          </w:p>
          <w:p w14:paraId="31825109" w14:textId="77777777" w:rsidR="00DD2BEA" w:rsidRPr="00DD2BEA" w:rsidRDefault="00DD2BEA" w:rsidP="00DD2BEA">
            <w:pPr>
              <w:spacing w:before="40"/>
              <w:rPr>
                <w:rFonts w:ascii="Arial" w:hAnsi="Arial"/>
                <w:sz w:val="16"/>
                <w:szCs w:val="16"/>
              </w:rPr>
            </w:pPr>
            <w:r w:rsidRPr="00DD2BEA">
              <w:rPr>
                <w:rFonts w:ascii="Arial" w:hAnsi="Arial"/>
                <w:sz w:val="16"/>
                <w:szCs w:val="16"/>
              </w:rPr>
              <w:t>A large and complex incident that has the potential to have or is having significant adverse consequences for the safety and wellbeing of the Victorian community or a part of the Victorian community.</w:t>
            </w:r>
          </w:p>
          <w:p w14:paraId="6F6B94B8"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Proclamation of an electricity supply emergency under the </w:t>
            </w:r>
            <w:r w:rsidRPr="00DD2BEA">
              <w:rPr>
                <w:rFonts w:ascii="Arial" w:hAnsi="Arial"/>
                <w:i/>
                <w:iCs/>
                <w:sz w:val="16"/>
                <w:szCs w:val="16"/>
              </w:rPr>
              <w:t>Electricity Industry Act 2000</w:t>
            </w:r>
          </w:p>
          <w:p w14:paraId="0D353781" w14:textId="77777777" w:rsidR="00DD2BEA" w:rsidRPr="00DD2BEA" w:rsidRDefault="00DD2BEA" w:rsidP="00DD2BEA">
            <w:pPr>
              <w:spacing w:before="40"/>
              <w:rPr>
                <w:rFonts w:ascii="Arial" w:hAnsi="Arial"/>
                <w:sz w:val="16"/>
                <w:szCs w:val="16"/>
              </w:rPr>
            </w:pPr>
          </w:p>
        </w:tc>
      </w:tr>
      <w:bookmarkEnd w:id="1788"/>
      <w:bookmarkEnd w:id="1789"/>
    </w:tbl>
    <w:p w14:paraId="19A5D170" w14:textId="77777777" w:rsidR="00B545E0" w:rsidRDefault="00B545E0" w:rsidP="00DD2BEA">
      <w:pPr>
        <w:spacing w:after="240" w:line="240" w:lineRule="auto"/>
        <w:rPr>
          <w:rFonts w:ascii="Arial" w:hAnsi="Arial"/>
          <w:color w:val="auto"/>
          <w:sz w:val="22"/>
          <w:szCs w:val="24"/>
        </w:rPr>
      </w:pPr>
    </w:p>
    <w:p w14:paraId="53A0B711" w14:textId="77777777" w:rsidR="00B545E0" w:rsidRDefault="00B545E0">
      <w:pPr>
        <w:rPr>
          <w:rFonts w:ascii="Arial" w:hAnsi="Arial"/>
          <w:color w:val="auto"/>
          <w:sz w:val="22"/>
          <w:szCs w:val="24"/>
        </w:rPr>
      </w:pPr>
      <w:r>
        <w:rPr>
          <w:rFonts w:ascii="Arial" w:hAnsi="Arial"/>
          <w:color w:val="auto"/>
          <w:sz w:val="22"/>
          <w:szCs w:val="24"/>
        </w:rPr>
        <w:br w:type="page"/>
      </w:r>
    </w:p>
    <w:p w14:paraId="64F45DA7" w14:textId="4F718164" w:rsidR="00DD2BEA" w:rsidRPr="00DD2BEA" w:rsidRDefault="63E6DCEF" w:rsidP="00B545E0">
      <w:pPr>
        <w:pStyle w:val="Heading2"/>
      </w:pPr>
      <w:bookmarkStart w:id="1791" w:name="_Toc94013212"/>
      <w:r>
        <w:lastRenderedPageBreak/>
        <w:t>Gas</w:t>
      </w:r>
      <w:bookmarkEnd w:id="1791"/>
    </w:p>
    <w:p w14:paraId="03E7BDBC" w14:textId="77777777" w:rsidR="00DE7FEC" w:rsidRDefault="00DE7FEC" w:rsidP="00DE7FEC"/>
    <w:tbl>
      <w:tblPr>
        <w:tblStyle w:val="TableGrid3"/>
        <w:tblpPr w:leftFromText="180" w:rightFromText="180" w:vertAnchor="text" w:tblpY="1"/>
        <w:tblOverlap w:val="never"/>
        <w:tblW w:w="8657" w:type="dxa"/>
        <w:tblCellSpacing w:w="28" w:type="dxa"/>
        <w:tblLook w:val="04A0" w:firstRow="1" w:lastRow="0" w:firstColumn="1" w:lastColumn="0" w:noHBand="0" w:noVBand="1"/>
      </w:tblPr>
      <w:tblGrid>
        <w:gridCol w:w="867"/>
        <w:gridCol w:w="729"/>
        <w:gridCol w:w="2383"/>
        <w:gridCol w:w="2338"/>
        <w:gridCol w:w="2340"/>
      </w:tblGrid>
      <w:tr w:rsidR="00DE7FEC" w:rsidRPr="00DD2BEA" w14:paraId="285F44C7" w14:textId="77777777" w:rsidTr="00A469E3">
        <w:trPr>
          <w:cantSplit/>
          <w:trHeight w:val="926"/>
          <w:tblCellSpacing w:w="28" w:type="dxa"/>
        </w:trPr>
        <w:tc>
          <w:tcPr>
            <w:tcW w:w="1512" w:type="dxa"/>
            <w:gridSpan w:val="2"/>
            <w:tcBorders>
              <w:top w:val="nil"/>
              <w:left w:val="nil"/>
              <w:bottom w:val="nil"/>
              <w:right w:val="nil"/>
            </w:tcBorders>
            <w:textDirection w:val="btLr"/>
          </w:tcPr>
          <w:p w14:paraId="6C66937C" w14:textId="77777777" w:rsidR="00DE7FEC" w:rsidRPr="00DD2BEA" w:rsidRDefault="00DE7FEC" w:rsidP="00A469E3">
            <w:pPr>
              <w:jc w:val="center"/>
              <w:rPr>
                <w:rFonts w:ascii="Arial" w:hAnsi="Arial"/>
                <w:b/>
                <w:bCs/>
                <w:color w:val="FFFFFF"/>
                <w:sz w:val="24"/>
                <w:szCs w:val="24"/>
              </w:rPr>
            </w:pPr>
            <w:r w:rsidRPr="00D81D6B">
              <w:rPr>
                <w:rFonts w:ascii="Arial" w:hAnsi="Arial"/>
                <w:noProof/>
                <w:color w:val="363534"/>
              </w:rPr>
              <w:drawing>
                <wp:inline distT="0" distB="0" distL="0" distR="0" wp14:anchorId="39F6E382" wp14:editId="4F82D176">
                  <wp:extent cx="596900" cy="596900"/>
                  <wp:effectExtent l="0" t="0" r="0" b="0"/>
                  <wp:docPr id="1885240439" name="Picture 188524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inline>
              </w:drawing>
            </w:r>
          </w:p>
        </w:tc>
        <w:tc>
          <w:tcPr>
            <w:tcW w:w="6977" w:type="dxa"/>
            <w:gridSpan w:val="3"/>
            <w:tcBorders>
              <w:top w:val="nil"/>
              <w:left w:val="nil"/>
              <w:bottom w:val="nil"/>
              <w:right w:val="nil"/>
            </w:tcBorders>
            <w:shd w:val="clear" w:color="auto" w:fill="E7E6E6"/>
            <w:vAlign w:val="center"/>
          </w:tcPr>
          <w:p w14:paraId="3634F31C" w14:textId="77777777" w:rsidR="00DE7FEC" w:rsidRPr="00DD2BEA" w:rsidRDefault="00DE7FEC" w:rsidP="00A469E3">
            <w:pPr>
              <w:rPr>
                <w:rFonts w:ascii="Arial" w:hAnsi="Arial"/>
                <w:b/>
                <w:bCs/>
                <w:sz w:val="24"/>
                <w:szCs w:val="24"/>
              </w:rPr>
            </w:pPr>
            <w:r w:rsidRPr="00DD2BEA">
              <w:rPr>
                <w:rFonts w:ascii="Arial" w:hAnsi="Arial"/>
                <w:b/>
                <w:bCs/>
                <w:sz w:val="32"/>
                <w:szCs w:val="32"/>
              </w:rPr>
              <w:t>Class 2 energy emergency (</w:t>
            </w:r>
            <w:r>
              <w:rPr>
                <w:rFonts w:ascii="Arial" w:hAnsi="Arial"/>
                <w:b/>
                <w:bCs/>
                <w:sz w:val="32"/>
                <w:szCs w:val="32"/>
              </w:rPr>
              <w:t>gas</w:t>
            </w:r>
            <w:r w:rsidRPr="00DD2BEA">
              <w:rPr>
                <w:rFonts w:ascii="Arial" w:hAnsi="Arial"/>
                <w:b/>
                <w:bCs/>
                <w:sz w:val="32"/>
                <w:szCs w:val="32"/>
              </w:rPr>
              <w:t>)</w:t>
            </w:r>
          </w:p>
        </w:tc>
      </w:tr>
      <w:tr w:rsidR="00DE7FEC" w:rsidRPr="00DD2BEA" w14:paraId="0EF05A02" w14:textId="77777777" w:rsidTr="00A469E3">
        <w:trPr>
          <w:cantSplit/>
          <w:trHeight w:val="495"/>
          <w:tblCellSpacing w:w="28" w:type="dxa"/>
        </w:trPr>
        <w:tc>
          <w:tcPr>
            <w:tcW w:w="8545" w:type="dxa"/>
            <w:gridSpan w:val="5"/>
            <w:tcBorders>
              <w:top w:val="single" w:sz="12" w:space="0" w:color="FF0000"/>
              <w:left w:val="single" w:sz="12" w:space="0" w:color="FF0000"/>
              <w:bottom w:val="single" w:sz="12" w:space="0" w:color="FF0000"/>
              <w:right w:val="single" w:sz="12" w:space="0" w:color="FF0000"/>
            </w:tcBorders>
            <w:shd w:val="clear" w:color="auto" w:fill="FFAFAF"/>
            <w:vAlign w:val="center"/>
          </w:tcPr>
          <w:p w14:paraId="69DE4455" w14:textId="77777777" w:rsidR="00DE7FEC" w:rsidRPr="00DD2BEA" w:rsidRDefault="00DE7FEC" w:rsidP="00A469E3">
            <w:pPr>
              <w:ind w:left="1510"/>
              <w:jc w:val="both"/>
              <w:rPr>
                <w:rFonts w:ascii="Arial" w:hAnsi="Arial"/>
                <w:b/>
                <w:bCs/>
                <w:color w:val="FFFFFF"/>
                <w:sz w:val="32"/>
                <w:szCs w:val="32"/>
              </w:rPr>
            </w:pPr>
            <w:r w:rsidRPr="00DD2BEA">
              <w:rPr>
                <w:rFonts w:ascii="Arial" w:hAnsi="Arial"/>
                <w:b/>
                <w:bCs/>
                <w:color w:val="FFFFFF"/>
                <w:sz w:val="32"/>
                <w:szCs w:val="32"/>
              </w:rPr>
              <w:t>Triggers</w:t>
            </w:r>
          </w:p>
        </w:tc>
      </w:tr>
      <w:tr w:rsidR="00DE7FEC" w:rsidRPr="00DD2BEA" w14:paraId="7B0D9220" w14:textId="77777777" w:rsidTr="00A469E3">
        <w:trPr>
          <w:cantSplit/>
          <w:trHeight w:val="1134"/>
          <w:tblCellSpacing w:w="28" w:type="dxa"/>
        </w:trPr>
        <w:tc>
          <w:tcPr>
            <w:tcW w:w="783" w:type="dxa"/>
            <w:vMerge w:val="restart"/>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35B9AC22" w14:textId="77777777" w:rsidR="00DE7FEC" w:rsidRPr="00DD2BEA" w:rsidRDefault="00DE7FEC" w:rsidP="00A469E3">
            <w:pPr>
              <w:jc w:val="center"/>
              <w:rPr>
                <w:rFonts w:ascii="Arial" w:hAnsi="Arial"/>
                <w:b/>
                <w:bCs/>
                <w:color w:val="FFFFFF"/>
                <w:sz w:val="32"/>
                <w:szCs w:val="32"/>
              </w:rPr>
            </w:pPr>
            <w:r w:rsidRPr="00DD2BEA">
              <w:rPr>
                <w:rFonts w:ascii="Arial" w:hAnsi="Arial"/>
                <w:b/>
                <w:bCs/>
                <w:color w:val="FFFFFF"/>
                <w:sz w:val="32"/>
                <w:szCs w:val="32"/>
              </w:rPr>
              <w:t>Major emergency</w:t>
            </w:r>
          </w:p>
        </w:tc>
        <w:tc>
          <w:tcPr>
            <w:tcW w:w="673"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2F0D710A" w14:textId="77777777" w:rsidR="00DE7FEC" w:rsidRPr="00DD2BEA" w:rsidRDefault="00DE7FEC" w:rsidP="00A469E3">
            <w:pPr>
              <w:jc w:val="center"/>
              <w:rPr>
                <w:rFonts w:ascii="Arial" w:hAnsi="Arial"/>
                <w:b/>
                <w:bCs/>
                <w:color w:val="FFFFFF"/>
                <w:sz w:val="24"/>
                <w:szCs w:val="24"/>
              </w:rPr>
            </w:pPr>
            <w:r w:rsidRPr="00DD2BEA">
              <w:rPr>
                <w:rFonts w:ascii="Arial" w:hAnsi="Arial"/>
                <w:b/>
                <w:bCs/>
                <w:color w:val="FFFFFF"/>
                <w:sz w:val="24"/>
                <w:szCs w:val="24"/>
              </w:rPr>
              <w:t>Forecast</w:t>
            </w:r>
          </w:p>
        </w:tc>
        <w:tc>
          <w:tcPr>
            <w:tcW w:w="2327" w:type="dxa"/>
            <w:tcBorders>
              <w:top w:val="single" w:sz="12" w:space="0" w:color="FF0000"/>
              <w:left w:val="single" w:sz="12" w:space="0" w:color="FF0000"/>
              <w:bottom w:val="single" w:sz="12" w:space="0" w:color="FF0000"/>
              <w:right w:val="single" w:sz="12" w:space="0" w:color="FF0000"/>
            </w:tcBorders>
          </w:tcPr>
          <w:p w14:paraId="31B65A8F" w14:textId="77777777" w:rsidR="00DE7FEC" w:rsidRPr="00D81D6B" w:rsidRDefault="00DE7FEC" w:rsidP="00A469E3">
            <w:pPr>
              <w:rPr>
                <w:rFonts w:ascii="Arial" w:hAnsi="Arial"/>
                <w:color w:val="363534"/>
              </w:rPr>
            </w:pPr>
            <w:r w:rsidRPr="00D81D6B">
              <w:rPr>
                <w:rFonts w:ascii="Arial" w:eastAsia="Arial" w:hAnsi="Arial"/>
                <w:b/>
                <w:bCs/>
                <w:color w:val="363534"/>
                <w:sz w:val="16"/>
                <w:szCs w:val="16"/>
              </w:rPr>
              <w:t>Weather forecast</w:t>
            </w:r>
          </w:p>
          <w:p w14:paraId="3BBCF631" w14:textId="77777777" w:rsidR="00DE7FEC" w:rsidRPr="00D81D6B" w:rsidRDefault="00DE7FEC" w:rsidP="00A469E3">
            <w:pPr>
              <w:rPr>
                <w:rFonts w:ascii="Arial" w:hAnsi="Arial"/>
                <w:color w:val="363534"/>
              </w:rPr>
            </w:pPr>
            <w:r w:rsidRPr="00D81D6B">
              <w:rPr>
                <w:rFonts w:ascii="Arial" w:eastAsia="Arial" w:hAnsi="Arial"/>
                <w:color w:val="363534"/>
                <w:sz w:val="16"/>
                <w:szCs w:val="16"/>
              </w:rPr>
              <w:t xml:space="preserve">Health Alert issued for extremely cold weather. </w:t>
            </w:r>
          </w:p>
          <w:p w14:paraId="5B3D9243" w14:textId="77777777" w:rsidR="00DE7FEC" w:rsidRPr="00D81D6B" w:rsidRDefault="00DE7FEC" w:rsidP="00A469E3">
            <w:pPr>
              <w:rPr>
                <w:rFonts w:ascii="Arial" w:hAnsi="Arial"/>
                <w:color w:val="363534"/>
              </w:rPr>
            </w:pPr>
            <w:r w:rsidRPr="00D81D6B">
              <w:rPr>
                <w:rFonts w:ascii="Arial" w:eastAsia="Arial" w:hAnsi="Arial"/>
                <w:color w:val="363534"/>
                <w:sz w:val="16"/>
                <w:szCs w:val="16"/>
              </w:rPr>
              <w:t>Two days with maximum forecast temperatures of less than 12</w:t>
            </w:r>
            <w:r w:rsidRPr="00D81D6B">
              <w:rPr>
                <w:rFonts w:ascii="Arial" w:eastAsia="Arial" w:hAnsi="Arial"/>
                <w:color w:val="363534"/>
                <w:sz w:val="16"/>
                <w:szCs w:val="16"/>
                <w:vertAlign w:val="superscript"/>
              </w:rPr>
              <w:t>o</w:t>
            </w:r>
            <w:r w:rsidRPr="00D81D6B">
              <w:rPr>
                <w:rFonts w:ascii="Arial" w:eastAsia="Arial" w:hAnsi="Arial"/>
                <w:color w:val="363534"/>
                <w:sz w:val="16"/>
                <w:szCs w:val="16"/>
              </w:rPr>
              <w:t>c for the Melbourne metropolitan area, or one day with a maximum forecast temperature of less than 10</w:t>
            </w:r>
            <w:r w:rsidRPr="00D81D6B">
              <w:rPr>
                <w:rFonts w:ascii="Arial" w:eastAsia="Arial" w:hAnsi="Arial"/>
                <w:color w:val="363534"/>
                <w:sz w:val="16"/>
                <w:szCs w:val="16"/>
                <w:vertAlign w:val="superscript"/>
              </w:rPr>
              <w:t>o</w:t>
            </w:r>
            <w:r w:rsidRPr="00D81D6B">
              <w:rPr>
                <w:rFonts w:ascii="Arial" w:eastAsia="Arial" w:hAnsi="Arial"/>
                <w:color w:val="363534"/>
                <w:sz w:val="16"/>
                <w:szCs w:val="16"/>
              </w:rPr>
              <w:t>c</w:t>
            </w:r>
          </w:p>
          <w:p w14:paraId="6420F3B9" w14:textId="77777777" w:rsidR="00DE7FEC" w:rsidRPr="00DD2BEA" w:rsidRDefault="00DE7FEC" w:rsidP="00A469E3">
            <w:pPr>
              <w:spacing w:before="40"/>
              <w:rPr>
                <w:rFonts w:ascii="Arial" w:hAnsi="Arial"/>
                <w:sz w:val="16"/>
                <w:szCs w:val="16"/>
              </w:rPr>
            </w:pPr>
          </w:p>
        </w:tc>
        <w:tc>
          <w:tcPr>
            <w:tcW w:w="2282" w:type="dxa"/>
            <w:tcBorders>
              <w:top w:val="single" w:sz="12" w:space="0" w:color="FF0000"/>
              <w:left w:val="single" w:sz="12" w:space="0" w:color="FF0000"/>
              <w:bottom w:val="single" w:sz="12" w:space="0" w:color="FF0000"/>
              <w:right w:val="single" w:sz="12" w:space="0" w:color="FF0000"/>
            </w:tcBorders>
          </w:tcPr>
          <w:p w14:paraId="5F32E2D0" w14:textId="77777777" w:rsidR="00DE7FEC" w:rsidRDefault="00DE7FEC" w:rsidP="00A469E3">
            <w:r w:rsidRPr="7EA0B018">
              <w:rPr>
                <w:rFonts w:ascii="Arial" w:eastAsia="Arial" w:hAnsi="Arial" w:cs="Arial"/>
                <w:b/>
                <w:bCs/>
                <w:sz w:val="16"/>
                <w:szCs w:val="16"/>
              </w:rPr>
              <w:t>Forecast reserves, supply, demand</w:t>
            </w:r>
          </w:p>
          <w:p w14:paraId="3E3420E7" w14:textId="77777777" w:rsidR="00DE7FEC" w:rsidRDefault="00DE7FEC" w:rsidP="00A469E3">
            <w:r w:rsidRPr="7EA0B018">
              <w:rPr>
                <w:rFonts w:ascii="Arial" w:eastAsia="Arial" w:hAnsi="Arial" w:cs="Arial"/>
                <w:sz w:val="16"/>
                <w:szCs w:val="16"/>
              </w:rPr>
              <w:t>AEMO issues a market notice warning of insufficient gas supply to meet demand.</w:t>
            </w:r>
          </w:p>
          <w:p w14:paraId="70DF0180" w14:textId="77777777" w:rsidR="00DE7FEC" w:rsidRDefault="00DE7FEC" w:rsidP="00A469E3">
            <w:r w:rsidRPr="7EA0B018">
              <w:rPr>
                <w:rFonts w:ascii="Arial" w:eastAsia="Arial" w:hAnsi="Arial" w:cs="Arial"/>
                <w:sz w:val="16"/>
                <w:szCs w:val="16"/>
              </w:rPr>
              <w:t>AEMO notifies DELWP there is a potential for gas curtailment following AEMO’s assessment of the forecast gas supply and demand conditions.</w:t>
            </w:r>
          </w:p>
          <w:p w14:paraId="3649858F" w14:textId="77777777" w:rsidR="00DE7FEC" w:rsidRDefault="00DE7FEC" w:rsidP="00A469E3">
            <w:r w:rsidRPr="7EA0B018">
              <w:rPr>
                <w:rFonts w:ascii="Arial" w:eastAsia="Arial" w:hAnsi="Arial" w:cs="Arial"/>
                <w:sz w:val="16"/>
                <w:szCs w:val="16"/>
              </w:rPr>
              <w:t xml:space="preserve">An event or outage is about to occur, e.g., an urgent outage at a major gas supply facility or on the DTS, e.g., a pipeline strike, that may endanger facility employees and/or the public resulting a shutdown or capacity reduction that will result in a supply shortfall. </w:t>
            </w:r>
          </w:p>
          <w:p w14:paraId="3D9594BE" w14:textId="77777777" w:rsidR="00DE7FEC" w:rsidRPr="00DD2BEA" w:rsidRDefault="00DE7FEC" w:rsidP="00A469E3">
            <w:pPr>
              <w:spacing w:before="40"/>
              <w:rPr>
                <w:rFonts w:ascii="Arial" w:hAnsi="Arial"/>
                <w:sz w:val="16"/>
                <w:szCs w:val="16"/>
              </w:rPr>
            </w:pPr>
          </w:p>
        </w:tc>
        <w:tc>
          <w:tcPr>
            <w:tcW w:w="2256" w:type="dxa"/>
            <w:tcBorders>
              <w:top w:val="single" w:sz="12" w:space="0" w:color="FF0000"/>
              <w:left w:val="single" w:sz="12" w:space="0" w:color="FF0000"/>
              <w:bottom w:val="single" w:sz="12" w:space="0" w:color="FF0000"/>
              <w:right w:val="single" w:sz="12" w:space="0" w:color="FF0000"/>
            </w:tcBorders>
          </w:tcPr>
          <w:p w14:paraId="2E78160A" w14:textId="77777777" w:rsidR="00DE7FEC" w:rsidRDefault="00DE7FEC" w:rsidP="00A469E3">
            <w:r w:rsidRPr="7EA0B018">
              <w:rPr>
                <w:rFonts w:ascii="Arial" w:eastAsia="Arial" w:hAnsi="Arial" w:cs="Arial"/>
                <w:b/>
                <w:bCs/>
                <w:sz w:val="16"/>
                <w:szCs w:val="16"/>
              </w:rPr>
              <w:t xml:space="preserve">Other conditions </w:t>
            </w:r>
          </w:p>
          <w:p w14:paraId="4FF24F61" w14:textId="77777777" w:rsidR="00DE7FEC" w:rsidRDefault="00DE7FEC" w:rsidP="00A469E3">
            <w:r w:rsidRPr="7EA0B018">
              <w:rPr>
                <w:rFonts w:ascii="Arial" w:eastAsia="Arial" w:hAnsi="Arial" w:cs="Arial"/>
                <w:sz w:val="16"/>
                <w:szCs w:val="16"/>
              </w:rPr>
              <w:t>An electricity supply outage threatens the operation of gas supply infrastructure, that may require the prioritisation of diesel for onsite power generation to prevent a major reduction in gas supply.</w:t>
            </w:r>
          </w:p>
          <w:p w14:paraId="1DDC1C99" w14:textId="77777777" w:rsidR="00DE7FEC" w:rsidRDefault="00DE7FEC" w:rsidP="00A469E3">
            <w:r w:rsidRPr="7EA0B018">
              <w:rPr>
                <w:rFonts w:ascii="Arial" w:eastAsia="Arial" w:hAnsi="Arial" w:cs="Arial"/>
                <w:sz w:val="16"/>
                <w:szCs w:val="16"/>
              </w:rPr>
              <w:t xml:space="preserve">High profile event, </w:t>
            </w:r>
            <w:proofErr w:type="gramStart"/>
            <w:r w:rsidRPr="7EA0B018">
              <w:rPr>
                <w:rFonts w:ascii="Arial" w:eastAsia="Arial" w:hAnsi="Arial" w:cs="Arial"/>
                <w:sz w:val="16"/>
                <w:szCs w:val="16"/>
              </w:rPr>
              <w:t>threat</w:t>
            </w:r>
            <w:proofErr w:type="gramEnd"/>
            <w:r w:rsidRPr="7EA0B018">
              <w:rPr>
                <w:rFonts w:ascii="Arial" w:eastAsia="Arial" w:hAnsi="Arial" w:cs="Arial"/>
                <w:sz w:val="16"/>
                <w:szCs w:val="16"/>
              </w:rPr>
              <w:t xml:space="preserve"> or natural disaster </w:t>
            </w:r>
          </w:p>
          <w:p w14:paraId="2041E3B0" w14:textId="77777777" w:rsidR="00DE7FEC" w:rsidRDefault="00DE7FEC" w:rsidP="00A469E3">
            <w:r w:rsidRPr="7EA0B018">
              <w:rPr>
                <w:rFonts w:ascii="Arial" w:eastAsia="Arial" w:hAnsi="Arial" w:cs="Arial"/>
                <w:sz w:val="16"/>
                <w:szCs w:val="16"/>
              </w:rPr>
              <w:t xml:space="preserve">Any incident that results in an activation of the NGERAC Interruption to Supply process. </w:t>
            </w:r>
          </w:p>
          <w:p w14:paraId="1AC8A311" w14:textId="77777777" w:rsidR="00DE7FEC" w:rsidRDefault="00DE7FEC" w:rsidP="00A469E3">
            <w:r w:rsidRPr="7EA0B018">
              <w:rPr>
                <w:rFonts w:ascii="Arial" w:eastAsia="Arial" w:hAnsi="Arial" w:cs="Arial"/>
                <w:sz w:val="16"/>
                <w:szCs w:val="16"/>
              </w:rPr>
              <w:t>Any incident considered likely to escalate to a major energy emergency.</w:t>
            </w:r>
          </w:p>
          <w:p w14:paraId="1E248BA2" w14:textId="77777777" w:rsidR="00DE7FEC" w:rsidRPr="00DD2BEA" w:rsidRDefault="00DE7FEC" w:rsidP="00A469E3">
            <w:pPr>
              <w:spacing w:before="40"/>
              <w:rPr>
                <w:rFonts w:ascii="Arial" w:hAnsi="Arial"/>
                <w:sz w:val="16"/>
                <w:szCs w:val="16"/>
              </w:rPr>
            </w:pPr>
            <w:r w:rsidRPr="7EA0B018">
              <w:rPr>
                <w:rFonts w:ascii="Arial" w:eastAsia="Arial" w:hAnsi="Arial" w:cs="Arial"/>
                <w:szCs w:val="18"/>
              </w:rPr>
              <w:t xml:space="preserve"> </w:t>
            </w:r>
          </w:p>
        </w:tc>
      </w:tr>
      <w:tr w:rsidR="00DE7FEC" w:rsidRPr="00DD2BEA" w14:paraId="56D2BA69" w14:textId="77777777" w:rsidTr="00A469E3">
        <w:trPr>
          <w:cantSplit/>
          <w:trHeight w:val="1134"/>
          <w:tblCellSpacing w:w="28" w:type="dxa"/>
        </w:trPr>
        <w:tc>
          <w:tcPr>
            <w:tcW w:w="783" w:type="dxa"/>
            <w:vMerge/>
            <w:textDirection w:val="btLr"/>
          </w:tcPr>
          <w:p w14:paraId="52ABD261" w14:textId="77777777" w:rsidR="00DE7FEC" w:rsidRPr="00DD2BEA" w:rsidRDefault="00DE7FEC" w:rsidP="00A469E3">
            <w:pPr>
              <w:jc w:val="center"/>
              <w:rPr>
                <w:rFonts w:ascii="Arial" w:hAnsi="Arial"/>
                <w:b/>
                <w:bCs/>
                <w:color w:val="FFFFFF"/>
                <w:sz w:val="32"/>
                <w:szCs w:val="32"/>
              </w:rPr>
            </w:pPr>
          </w:p>
        </w:tc>
        <w:tc>
          <w:tcPr>
            <w:tcW w:w="673"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24B2BDB7" w14:textId="77777777" w:rsidR="00DE7FEC" w:rsidRPr="00DD2BEA" w:rsidRDefault="00DE7FEC" w:rsidP="00A469E3">
            <w:pPr>
              <w:jc w:val="center"/>
              <w:rPr>
                <w:rFonts w:ascii="Arial" w:hAnsi="Arial"/>
                <w:b/>
                <w:bCs/>
                <w:color w:val="FFFFFF"/>
                <w:sz w:val="24"/>
                <w:szCs w:val="24"/>
              </w:rPr>
            </w:pPr>
            <w:r w:rsidRPr="00DD2BEA">
              <w:rPr>
                <w:rFonts w:ascii="Arial" w:hAnsi="Arial"/>
                <w:b/>
                <w:bCs/>
                <w:color w:val="FFFFFF"/>
                <w:sz w:val="24"/>
                <w:szCs w:val="24"/>
              </w:rPr>
              <w:t>Event</w:t>
            </w:r>
          </w:p>
        </w:tc>
        <w:tc>
          <w:tcPr>
            <w:tcW w:w="2327" w:type="dxa"/>
            <w:tcBorders>
              <w:top w:val="single" w:sz="12" w:space="0" w:color="FF0000"/>
              <w:left w:val="single" w:sz="12" w:space="0" w:color="FF0000"/>
              <w:bottom w:val="single" w:sz="12" w:space="0" w:color="FF0000"/>
              <w:right w:val="single" w:sz="12" w:space="0" w:color="FF0000"/>
            </w:tcBorders>
            <w:shd w:val="clear" w:color="auto" w:fill="FFAFAF"/>
          </w:tcPr>
          <w:p w14:paraId="7824CD39" w14:textId="77777777" w:rsidR="00DE7FEC" w:rsidRDefault="00DE7FEC" w:rsidP="00A469E3">
            <w:r w:rsidRPr="7EA0B018">
              <w:rPr>
                <w:rFonts w:ascii="Arial" w:eastAsia="Arial" w:hAnsi="Arial" w:cs="Arial"/>
                <w:b/>
                <w:bCs/>
                <w:color w:val="000000"/>
                <w:sz w:val="16"/>
                <w:szCs w:val="16"/>
              </w:rPr>
              <w:t xml:space="preserve">Gas outages </w:t>
            </w:r>
          </w:p>
          <w:p w14:paraId="36E2094E" w14:textId="77777777" w:rsidR="00DE7FEC" w:rsidRDefault="00DE7FEC" w:rsidP="00A469E3">
            <w:r w:rsidRPr="7EA0B018">
              <w:rPr>
                <w:rFonts w:ascii="Arial" w:eastAsia="Arial" w:hAnsi="Arial" w:cs="Arial"/>
                <w:color w:val="000000"/>
                <w:sz w:val="16"/>
                <w:szCs w:val="16"/>
              </w:rPr>
              <w:t>&gt;1,000 customers are impacted by loss of supply.</w:t>
            </w:r>
          </w:p>
          <w:p w14:paraId="188BCA15" w14:textId="77777777" w:rsidR="00DE7FEC" w:rsidRDefault="00DE7FEC" w:rsidP="00A469E3">
            <w:r w:rsidRPr="7EA0B018">
              <w:rPr>
                <w:rFonts w:ascii="Arial" w:eastAsia="Arial" w:hAnsi="Arial" w:cs="Arial"/>
                <w:color w:val="000000"/>
                <w:sz w:val="16"/>
                <w:szCs w:val="16"/>
              </w:rPr>
              <w:t>Substantial risk of serious injury or death.</w:t>
            </w:r>
          </w:p>
          <w:p w14:paraId="45D44BD0" w14:textId="77777777" w:rsidR="00DE7FEC" w:rsidRDefault="00DE7FEC" w:rsidP="00A469E3">
            <w:r w:rsidRPr="7EA0B018">
              <w:rPr>
                <w:rFonts w:ascii="Arial" w:eastAsia="Arial" w:hAnsi="Arial" w:cs="Arial"/>
                <w:color w:val="000000"/>
                <w:sz w:val="16"/>
                <w:szCs w:val="16"/>
              </w:rPr>
              <w:t xml:space="preserve">Significant commercial/industrial impact. </w:t>
            </w:r>
          </w:p>
          <w:p w14:paraId="7C6D4FA3" w14:textId="77777777" w:rsidR="00DE7FEC" w:rsidRDefault="00DE7FEC" w:rsidP="00A469E3">
            <w:r w:rsidRPr="7EA0B018">
              <w:rPr>
                <w:rFonts w:ascii="Arial" w:eastAsia="Arial" w:hAnsi="Arial" w:cs="Arial"/>
                <w:color w:val="000000"/>
                <w:sz w:val="16"/>
                <w:szCs w:val="16"/>
              </w:rPr>
              <w:t xml:space="preserve">Immediate threat to significant infrastructure or facilities including hospitals, major industry and or other utilities. </w:t>
            </w:r>
          </w:p>
          <w:p w14:paraId="089521B2" w14:textId="77777777" w:rsidR="00DE7FEC" w:rsidRPr="00DD2BEA" w:rsidRDefault="00DE7FEC" w:rsidP="00A469E3">
            <w:pPr>
              <w:spacing w:before="40"/>
              <w:rPr>
                <w:rFonts w:ascii="Arial" w:hAnsi="Arial"/>
                <w:sz w:val="16"/>
                <w:szCs w:val="16"/>
              </w:rPr>
            </w:pPr>
          </w:p>
        </w:tc>
        <w:tc>
          <w:tcPr>
            <w:tcW w:w="2282" w:type="dxa"/>
            <w:tcBorders>
              <w:top w:val="single" w:sz="12" w:space="0" w:color="FF0000"/>
              <w:left w:val="single" w:sz="12" w:space="0" w:color="FF0000"/>
              <w:bottom w:val="single" w:sz="12" w:space="0" w:color="FF0000"/>
              <w:right w:val="single" w:sz="12" w:space="0" w:color="FF0000"/>
            </w:tcBorders>
            <w:shd w:val="clear" w:color="auto" w:fill="FFAFAF"/>
          </w:tcPr>
          <w:p w14:paraId="5C3A5858" w14:textId="77777777" w:rsidR="00DE7FEC" w:rsidRDefault="00DE7FEC" w:rsidP="00A469E3">
            <w:r w:rsidRPr="7EA0B018">
              <w:rPr>
                <w:rFonts w:ascii="Arial" w:eastAsia="Arial" w:hAnsi="Arial" w:cs="Arial"/>
                <w:b/>
                <w:bCs/>
                <w:color w:val="000000"/>
                <w:sz w:val="16"/>
                <w:szCs w:val="16"/>
              </w:rPr>
              <w:t>Gas supply disruption</w:t>
            </w:r>
          </w:p>
          <w:p w14:paraId="455C0807" w14:textId="77777777" w:rsidR="00DE7FEC" w:rsidRDefault="00DE7FEC" w:rsidP="00A469E3">
            <w:r w:rsidRPr="7EA0B018">
              <w:rPr>
                <w:rFonts w:ascii="Arial" w:eastAsia="Arial" w:hAnsi="Arial" w:cs="Arial"/>
                <w:color w:val="000000"/>
                <w:sz w:val="16"/>
                <w:szCs w:val="16"/>
              </w:rPr>
              <w:t>Loss of supply form a major injection point or unplanned isolation of a significant transmission pipeline jeopardising the integrity of the principal network.</w:t>
            </w:r>
          </w:p>
          <w:p w14:paraId="76ACC922" w14:textId="77777777" w:rsidR="00DE7FEC" w:rsidRDefault="00DE7FEC" w:rsidP="00A469E3">
            <w:r w:rsidRPr="7EA0B018">
              <w:rPr>
                <w:rFonts w:ascii="Arial" w:eastAsia="Arial" w:hAnsi="Arial" w:cs="Arial"/>
                <w:color w:val="000000"/>
                <w:sz w:val="16"/>
                <w:szCs w:val="16"/>
              </w:rPr>
              <w:t>Any incident leading to gas supply curtailment.</w:t>
            </w:r>
          </w:p>
          <w:p w14:paraId="5DAD2053" w14:textId="77777777" w:rsidR="00DE7FEC" w:rsidRDefault="00DE7FEC" w:rsidP="00A469E3">
            <w:r w:rsidRPr="7EA0B018">
              <w:rPr>
                <w:rFonts w:ascii="Arial" w:eastAsia="Arial" w:hAnsi="Arial" w:cs="Arial"/>
                <w:color w:val="000000"/>
                <w:sz w:val="16"/>
                <w:szCs w:val="16"/>
              </w:rPr>
              <w:t xml:space="preserve">Proclamation of a gas supply emergency under the </w:t>
            </w:r>
            <w:r w:rsidRPr="7EA0B018">
              <w:rPr>
                <w:rFonts w:ascii="Arial" w:eastAsia="Arial" w:hAnsi="Arial" w:cs="Arial"/>
                <w:i/>
                <w:iCs/>
                <w:color w:val="000000"/>
                <w:sz w:val="16"/>
                <w:szCs w:val="16"/>
              </w:rPr>
              <w:t>Gas Industry Act 2001</w:t>
            </w:r>
          </w:p>
          <w:p w14:paraId="55BDFD79" w14:textId="77777777" w:rsidR="00DE7FEC" w:rsidRPr="00DD2BEA" w:rsidRDefault="00DE7FEC" w:rsidP="00A469E3">
            <w:pPr>
              <w:spacing w:before="40"/>
              <w:rPr>
                <w:rFonts w:ascii="Arial" w:hAnsi="Arial"/>
                <w:sz w:val="16"/>
                <w:szCs w:val="16"/>
              </w:rPr>
            </w:pPr>
          </w:p>
        </w:tc>
        <w:tc>
          <w:tcPr>
            <w:tcW w:w="2256" w:type="dxa"/>
            <w:tcBorders>
              <w:top w:val="single" w:sz="12" w:space="0" w:color="FF0000"/>
              <w:left w:val="single" w:sz="12" w:space="0" w:color="FF0000"/>
              <w:bottom w:val="single" w:sz="12" w:space="0" w:color="FF0000"/>
              <w:right w:val="single" w:sz="12" w:space="0" w:color="FF0000"/>
            </w:tcBorders>
            <w:shd w:val="clear" w:color="auto" w:fill="FFAFAF"/>
          </w:tcPr>
          <w:p w14:paraId="74B1E551" w14:textId="77777777" w:rsidR="00DE7FEC" w:rsidRDefault="00DE7FEC" w:rsidP="00A469E3">
            <w:r w:rsidRPr="7EA0B018">
              <w:rPr>
                <w:rFonts w:ascii="Arial" w:eastAsia="Arial" w:hAnsi="Arial" w:cs="Arial"/>
                <w:b/>
                <w:bCs/>
                <w:color w:val="000000"/>
                <w:sz w:val="16"/>
                <w:szCs w:val="16"/>
              </w:rPr>
              <w:t>Other conditions</w:t>
            </w:r>
          </w:p>
          <w:p w14:paraId="67B756E0" w14:textId="77777777" w:rsidR="00DE7FEC" w:rsidRDefault="00DE7FEC" w:rsidP="00A469E3">
            <w:r w:rsidRPr="7EA0B018">
              <w:rPr>
                <w:rFonts w:ascii="Arial" w:eastAsia="Arial" w:hAnsi="Arial" w:cs="Arial"/>
                <w:color w:val="000000"/>
                <w:sz w:val="16"/>
                <w:szCs w:val="16"/>
              </w:rPr>
              <w:t>Any incident attracting or likely to attract significant media or public interest, with a risk of reputational damage to the State.</w:t>
            </w:r>
          </w:p>
          <w:p w14:paraId="7F8CB25A" w14:textId="77777777" w:rsidR="00DE7FEC" w:rsidRDefault="00DE7FEC" w:rsidP="00A469E3">
            <w:r w:rsidRPr="7EA0B018">
              <w:rPr>
                <w:rFonts w:ascii="Arial" w:eastAsia="Arial" w:hAnsi="Arial" w:cs="Arial"/>
                <w:color w:val="000000"/>
                <w:sz w:val="16"/>
                <w:szCs w:val="16"/>
              </w:rPr>
              <w:t>A large and complex incident that has the potential to have or is having significant adverse consequences for the safety and wellbeing of the Victorian community or a part of the Victorian community.</w:t>
            </w:r>
          </w:p>
          <w:p w14:paraId="53A324E0" w14:textId="77777777" w:rsidR="00DE7FEC" w:rsidRDefault="00DE7FEC" w:rsidP="00A469E3">
            <w:r w:rsidRPr="7EA0B018">
              <w:rPr>
                <w:rFonts w:ascii="Arial" w:eastAsia="Arial" w:hAnsi="Arial" w:cs="Arial"/>
                <w:color w:val="000000"/>
                <w:sz w:val="16"/>
                <w:szCs w:val="16"/>
              </w:rPr>
              <w:t xml:space="preserve">Degree of complexity requires more substantial organisational structure. </w:t>
            </w:r>
          </w:p>
          <w:p w14:paraId="34CA7AB8" w14:textId="77777777" w:rsidR="00DE7FEC" w:rsidRPr="00DD2BEA" w:rsidRDefault="00DE7FEC" w:rsidP="00A469E3">
            <w:pPr>
              <w:spacing w:before="40"/>
              <w:rPr>
                <w:rFonts w:ascii="Arial" w:hAnsi="Arial"/>
                <w:sz w:val="16"/>
                <w:szCs w:val="16"/>
              </w:rPr>
            </w:pPr>
          </w:p>
        </w:tc>
      </w:tr>
    </w:tbl>
    <w:p w14:paraId="6D46389D" w14:textId="77777777" w:rsidR="00DE7FEC" w:rsidRDefault="00DE7FEC" w:rsidP="00DE7FEC"/>
    <w:p w14:paraId="2EBDE214" w14:textId="4218181C" w:rsidR="00DD2BEA" w:rsidRDefault="00DD2BEA" w:rsidP="00DD2BEA">
      <w:pPr>
        <w:spacing w:after="240" w:line="240" w:lineRule="auto"/>
      </w:pPr>
      <w:r>
        <w:br/>
      </w:r>
    </w:p>
    <w:p w14:paraId="0FC0D2E7" w14:textId="68A02E14" w:rsidR="00DE7FEC" w:rsidRDefault="00DD2BEA" w:rsidP="00DD2BEA">
      <w:pPr>
        <w:spacing w:after="240" w:line="240" w:lineRule="auto"/>
      </w:pPr>
      <w:r>
        <w:br/>
      </w:r>
    </w:p>
    <w:p w14:paraId="6414B0E5" w14:textId="77777777" w:rsidR="00DE7FEC" w:rsidRDefault="00DE7FEC">
      <w:r>
        <w:br w:type="page"/>
      </w:r>
    </w:p>
    <w:p w14:paraId="030FB61F" w14:textId="63CEBE23" w:rsidR="00B545E0" w:rsidRPr="00DD2BEA" w:rsidRDefault="00B545E0" w:rsidP="00B545E0">
      <w:pPr>
        <w:pStyle w:val="Heading2"/>
      </w:pPr>
      <w:bookmarkStart w:id="1792" w:name="_Toc94013213"/>
      <w:r>
        <w:lastRenderedPageBreak/>
        <w:t>Liquid fuels</w:t>
      </w:r>
      <w:bookmarkEnd w:id="1792"/>
      <w:r>
        <w:t xml:space="preserve"> </w:t>
      </w:r>
    </w:p>
    <w:tbl>
      <w:tblPr>
        <w:tblStyle w:val="TableGrid3"/>
        <w:tblpPr w:leftFromText="180" w:rightFromText="180" w:vertAnchor="text" w:tblpY="1"/>
        <w:tblOverlap w:val="never"/>
        <w:tblW w:w="8930" w:type="dxa"/>
        <w:tblCellSpacing w:w="28" w:type="dxa"/>
        <w:tblLayout w:type="fixed"/>
        <w:tblLook w:val="04A0" w:firstRow="1" w:lastRow="0" w:firstColumn="1" w:lastColumn="0" w:noHBand="0" w:noVBand="1"/>
      </w:tblPr>
      <w:tblGrid>
        <w:gridCol w:w="744"/>
        <w:gridCol w:w="622"/>
        <w:gridCol w:w="2462"/>
        <w:gridCol w:w="2409"/>
        <w:gridCol w:w="2693"/>
      </w:tblGrid>
      <w:tr w:rsidR="00DD2BEA" w:rsidRPr="00DD2BEA" w14:paraId="0DF26E27" w14:textId="77777777" w:rsidTr="70E080EC">
        <w:trPr>
          <w:cantSplit/>
          <w:trHeight w:val="931"/>
          <w:tblCellSpacing w:w="28" w:type="dxa"/>
        </w:trPr>
        <w:tc>
          <w:tcPr>
            <w:tcW w:w="1282" w:type="dxa"/>
            <w:gridSpan w:val="2"/>
            <w:tcBorders>
              <w:top w:val="nil"/>
              <w:left w:val="nil"/>
              <w:bottom w:val="nil"/>
              <w:right w:val="nil"/>
            </w:tcBorders>
            <w:textDirection w:val="btLr"/>
          </w:tcPr>
          <w:p w14:paraId="7367AEA6" w14:textId="77777777" w:rsidR="00DD2BEA" w:rsidRPr="00DD2BEA" w:rsidRDefault="00DD2BEA" w:rsidP="00DD2BEA">
            <w:pPr>
              <w:jc w:val="center"/>
              <w:rPr>
                <w:rFonts w:ascii="Arial" w:hAnsi="Arial"/>
                <w:b/>
                <w:bCs/>
                <w:color w:val="FFFFFF"/>
                <w:sz w:val="24"/>
                <w:szCs w:val="24"/>
              </w:rPr>
            </w:pPr>
            <w:r w:rsidRPr="00DD2BEA">
              <w:rPr>
                <w:rFonts w:ascii="Arial" w:hAnsi="Arial"/>
                <w:b/>
                <w:bCs/>
                <w:noProof/>
                <w:color w:val="FFFFFF"/>
                <w:sz w:val="30"/>
                <w:szCs w:val="30"/>
              </w:rPr>
              <w:drawing>
                <wp:anchor distT="0" distB="0" distL="114300" distR="114300" simplePos="0" relativeHeight="251658240" behindDoc="0" locked="0" layoutInCell="1" allowOverlap="1" wp14:anchorId="049058BF" wp14:editId="30A95235">
                  <wp:simplePos x="0" y="0"/>
                  <wp:positionH relativeFrom="column">
                    <wp:posOffset>216295</wp:posOffset>
                  </wp:positionH>
                  <wp:positionV relativeFrom="paragraph">
                    <wp:posOffset>-545837</wp:posOffset>
                  </wp:positionV>
                  <wp:extent cx="491319" cy="491319"/>
                  <wp:effectExtent l="0" t="0" r="0" b="0"/>
                  <wp:wrapSquare wrapText="bothSides"/>
                  <wp:docPr id="108" name="Graphic 108" descr="Fu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Fuel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91319" cy="491319"/>
                          </a:xfrm>
                          <a:prstGeom prst="rect">
                            <a:avLst/>
                          </a:prstGeom>
                        </pic:spPr>
                      </pic:pic>
                    </a:graphicData>
                  </a:graphic>
                </wp:anchor>
              </w:drawing>
            </w:r>
          </w:p>
        </w:tc>
        <w:tc>
          <w:tcPr>
            <w:tcW w:w="7480" w:type="dxa"/>
            <w:gridSpan w:val="3"/>
            <w:tcBorders>
              <w:top w:val="nil"/>
              <w:left w:val="nil"/>
              <w:bottom w:val="nil"/>
              <w:right w:val="nil"/>
            </w:tcBorders>
            <w:shd w:val="clear" w:color="auto" w:fill="E7E6E6"/>
            <w:vAlign w:val="center"/>
          </w:tcPr>
          <w:p w14:paraId="6BA40220" w14:textId="77777777" w:rsidR="00DD2BEA" w:rsidRPr="00DD2BEA" w:rsidRDefault="00DD2BEA" w:rsidP="00DD2BEA">
            <w:pPr>
              <w:rPr>
                <w:rFonts w:ascii="Arial" w:hAnsi="Arial"/>
                <w:b/>
                <w:bCs/>
                <w:sz w:val="24"/>
                <w:szCs w:val="24"/>
              </w:rPr>
            </w:pPr>
            <w:r w:rsidRPr="00DD2BEA">
              <w:rPr>
                <w:rFonts w:ascii="Arial" w:hAnsi="Arial"/>
                <w:b/>
                <w:bCs/>
                <w:sz w:val="32"/>
                <w:szCs w:val="32"/>
              </w:rPr>
              <w:t>Class 2 energy emergency (liquid fuels)</w:t>
            </w:r>
          </w:p>
        </w:tc>
      </w:tr>
      <w:tr w:rsidR="00DD2BEA" w:rsidRPr="00DD2BEA" w14:paraId="34514EC0" w14:textId="77777777" w:rsidTr="70E080EC">
        <w:trPr>
          <w:cantSplit/>
          <w:trHeight w:val="495"/>
          <w:tblCellSpacing w:w="28" w:type="dxa"/>
        </w:trPr>
        <w:tc>
          <w:tcPr>
            <w:tcW w:w="8818" w:type="dxa"/>
            <w:gridSpan w:val="5"/>
            <w:tcBorders>
              <w:top w:val="single" w:sz="12" w:space="0" w:color="FF0000"/>
              <w:left w:val="single" w:sz="12" w:space="0" w:color="FF0000"/>
              <w:bottom w:val="single" w:sz="12" w:space="0" w:color="FF0000"/>
              <w:right w:val="single" w:sz="12" w:space="0" w:color="FF0000"/>
            </w:tcBorders>
            <w:shd w:val="clear" w:color="auto" w:fill="FFAFAF"/>
            <w:vAlign w:val="center"/>
          </w:tcPr>
          <w:p w14:paraId="287890A2" w14:textId="77777777" w:rsidR="00DD2BEA" w:rsidRPr="00DD2BEA" w:rsidRDefault="00DD2BEA" w:rsidP="00DD2BEA">
            <w:pPr>
              <w:ind w:left="1510"/>
              <w:rPr>
                <w:rFonts w:ascii="Arial" w:hAnsi="Arial"/>
                <w:b/>
                <w:bCs/>
                <w:color w:val="FFFFFF"/>
                <w:sz w:val="32"/>
                <w:szCs w:val="32"/>
              </w:rPr>
            </w:pPr>
            <w:r w:rsidRPr="00DD2BEA">
              <w:rPr>
                <w:rFonts w:ascii="Arial" w:hAnsi="Arial"/>
                <w:b/>
                <w:bCs/>
                <w:color w:val="FFFFFF"/>
                <w:sz w:val="32"/>
                <w:szCs w:val="32"/>
              </w:rPr>
              <w:t xml:space="preserve">Triggers </w:t>
            </w:r>
          </w:p>
        </w:tc>
      </w:tr>
      <w:tr w:rsidR="00DD2BEA" w:rsidRPr="00DD2BEA" w14:paraId="2E9BE2A6" w14:textId="77777777" w:rsidTr="70E080EC">
        <w:trPr>
          <w:cantSplit/>
          <w:trHeight w:val="1134"/>
          <w:tblCellSpacing w:w="28" w:type="dxa"/>
        </w:trPr>
        <w:tc>
          <w:tcPr>
            <w:tcW w:w="660" w:type="dxa"/>
            <w:vMerge w:val="restart"/>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2E46E28F" w14:textId="77777777" w:rsidR="00DD2BEA" w:rsidRPr="00DD2BEA" w:rsidRDefault="00DD2BEA" w:rsidP="00DD2BEA">
            <w:pPr>
              <w:jc w:val="center"/>
              <w:rPr>
                <w:rFonts w:ascii="Arial" w:hAnsi="Arial"/>
                <w:b/>
                <w:bCs/>
                <w:color w:val="FFFFFF"/>
                <w:sz w:val="32"/>
                <w:szCs w:val="32"/>
              </w:rPr>
            </w:pPr>
            <w:r w:rsidRPr="00DD2BEA">
              <w:rPr>
                <w:rFonts w:ascii="Arial" w:hAnsi="Arial"/>
                <w:b/>
                <w:bCs/>
                <w:color w:val="FFFFFF"/>
                <w:sz w:val="32"/>
                <w:szCs w:val="32"/>
              </w:rPr>
              <w:t>Major emergency</w:t>
            </w:r>
          </w:p>
        </w:tc>
        <w:tc>
          <w:tcPr>
            <w:tcW w:w="566"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706E5460" w14:textId="77777777" w:rsidR="00DD2BEA" w:rsidRPr="00DD2BEA" w:rsidRDefault="00DD2BEA" w:rsidP="00DD2BEA">
            <w:pPr>
              <w:jc w:val="center"/>
              <w:rPr>
                <w:rFonts w:ascii="Arial" w:hAnsi="Arial"/>
                <w:b/>
                <w:bCs/>
                <w:color w:val="FFFFFF"/>
                <w:sz w:val="24"/>
                <w:szCs w:val="24"/>
              </w:rPr>
            </w:pPr>
            <w:r w:rsidRPr="00DD2BEA">
              <w:rPr>
                <w:rFonts w:ascii="Arial" w:hAnsi="Arial"/>
                <w:b/>
                <w:bCs/>
                <w:color w:val="FFFFFF"/>
                <w:sz w:val="24"/>
                <w:szCs w:val="24"/>
              </w:rPr>
              <w:t xml:space="preserve">Conditions </w:t>
            </w:r>
          </w:p>
        </w:tc>
        <w:tc>
          <w:tcPr>
            <w:tcW w:w="2406" w:type="dxa"/>
            <w:tcBorders>
              <w:top w:val="single" w:sz="12" w:space="0" w:color="FF0000"/>
              <w:left w:val="single" w:sz="12" w:space="0" w:color="FF0000"/>
              <w:bottom w:val="single" w:sz="12" w:space="0" w:color="FF0000"/>
              <w:right w:val="single" w:sz="12" w:space="0" w:color="FF0000"/>
            </w:tcBorders>
          </w:tcPr>
          <w:p w14:paraId="53A7CB34" w14:textId="222F0AA1" w:rsidR="00DD2BEA" w:rsidRPr="00DD2BEA" w:rsidRDefault="00DD2BEA" w:rsidP="00DD2BEA">
            <w:pPr>
              <w:spacing w:before="40"/>
              <w:rPr>
                <w:rFonts w:ascii="Arial" w:hAnsi="Arial"/>
                <w:sz w:val="16"/>
                <w:szCs w:val="16"/>
              </w:rPr>
            </w:pPr>
            <w:r w:rsidRPr="00DD2BEA">
              <w:rPr>
                <w:rFonts w:ascii="Arial" w:hAnsi="Arial"/>
                <w:sz w:val="16"/>
                <w:szCs w:val="16"/>
              </w:rPr>
              <w:t>Significant increased risk</w:t>
            </w:r>
            <w:r w:rsidR="00ED71F7">
              <w:rPr>
                <w:rFonts w:ascii="Arial" w:hAnsi="Arial"/>
                <w:sz w:val="16"/>
                <w:szCs w:val="16"/>
              </w:rPr>
              <w:t xml:space="preserve"> of supply disruption</w:t>
            </w:r>
            <w:r w:rsidRPr="00DD2BEA">
              <w:rPr>
                <w:rFonts w:ascii="Arial" w:hAnsi="Arial"/>
                <w:sz w:val="16"/>
                <w:szCs w:val="16"/>
              </w:rPr>
              <w:t xml:space="preserve"> – perceived or actual.</w:t>
            </w:r>
          </w:p>
          <w:p w14:paraId="10B939F6" w14:textId="0C2D90B9" w:rsidR="00DD2BEA" w:rsidRDefault="00DD2BEA" w:rsidP="00DD2BEA">
            <w:pPr>
              <w:spacing w:before="40"/>
              <w:rPr>
                <w:rFonts w:ascii="Arial" w:hAnsi="Arial"/>
                <w:sz w:val="16"/>
                <w:szCs w:val="16"/>
              </w:rPr>
            </w:pPr>
            <w:r w:rsidRPr="70E080EC">
              <w:rPr>
                <w:rFonts w:ascii="Arial" w:hAnsi="Arial"/>
                <w:sz w:val="16"/>
                <w:szCs w:val="16"/>
              </w:rPr>
              <w:t>Incident or situation affecting supply infrastructure</w:t>
            </w:r>
            <w:r w:rsidR="57E8560D" w:rsidRPr="70E080EC">
              <w:rPr>
                <w:rFonts w:ascii="Arial" w:hAnsi="Arial"/>
                <w:sz w:val="16"/>
                <w:szCs w:val="16"/>
              </w:rPr>
              <w:t xml:space="preserve">, including retail </w:t>
            </w:r>
            <w:r w:rsidR="552DA7DD" w:rsidRPr="70E080EC">
              <w:rPr>
                <w:rFonts w:ascii="Arial" w:hAnsi="Arial"/>
                <w:sz w:val="16"/>
                <w:szCs w:val="16"/>
              </w:rPr>
              <w:t>network, causing</w:t>
            </w:r>
            <w:r w:rsidR="59BC3B04" w:rsidRPr="70E080EC">
              <w:rPr>
                <w:rFonts w:ascii="Arial" w:hAnsi="Arial"/>
                <w:sz w:val="16"/>
                <w:szCs w:val="16"/>
              </w:rPr>
              <w:t xml:space="preserve"> or likely to cause significant adverse impact on the community, or part of the community</w:t>
            </w:r>
            <w:r w:rsidR="3FA00DFE" w:rsidRPr="70E080EC">
              <w:rPr>
                <w:rFonts w:ascii="Arial" w:hAnsi="Arial"/>
                <w:sz w:val="16"/>
                <w:szCs w:val="16"/>
              </w:rPr>
              <w:t>.</w:t>
            </w:r>
          </w:p>
          <w:p w14:paraId="07DFC020" w14:textId="6A711ED8" w:rsidR="00DD2BEA" w:rsidRPr="00DD2BEA" w:rsidRDefault="00DD2BEA" w:rsidP="00DD2BEA">
            <w:pPr>
              <w:spacing w:before="40"/>
              <w:rPr>
                <w:rFonts w:ascii="Arial" w:hAnsi="Arial"/>
                <w:sz w:val="16"/>
                <w:szCs w:val="16"/>
              </w:rPr>
            </w:pPr>
          </w:p>
        </w:tc>
        <w:tc>
          <w:tcPr>
            <w:tcW w:w="2353" w:type="dxa"/>
            <w:tcBorders>
              <w:top w:val="single" w:sz="12" w:space="0" w:color="FF0000"/>
              <w:left w:val="single" w:sz="12" w:space="0" w:color="FF0000"/>
              <w:bottom w:val="single" w:sz="12" w:space="0" w:color="FF0000"/>
              <w:right w:val="single" w:sz="12" w:space="0" w:color="FF0000"/>
            </w:tcBorders>
          </w:tcPr>
          <w:p w14:paraId="2DDA3D74" w14:textId="77777777" w:rsidR="00DD2BEA" w:rsidRPr="00DD2BEA" w:rsidRDefault="00DD2BEA" w:rsidP="00DD2BEA">
            <w:pPr>
              <w:spacing w:before="40"/>
              <w:rPr>
                <w:rFonts w:ascii="Arial" w:hAnsi="Arial"/>
                <w:sz w:val="16"/>
                <w:szCs w:val="16"/>
              </w:rPr>
            </w:pPr>
            <w:r w:rsidRPr="00DD2BEA">
              <w:rPr>
                <w:rFonts w:ascii="Arial" w:hAnsi="Arial"/>
                <w:sz w:val="16"/>
                <w:szCs w:val="16"/>
              </w:rPr>
              <w:t>NOSEC or LFWG convened in response to conditions/incident.</w:t>
            </w:r>
          </w:p>
          <w:p w14:paraId="28745CF7" w14:textId="77777777" w:rsidR="00DD2BEA" w:rsidRPr="00DD2BEA" w:rsidRDefault="00DD2BEA" w:rsidP="00DD2BEA">
            <w:pPr>
              <w:spacing w:before="40"/>
              <w:rPr>
                <w:rFonts w:ascii="Arial" w:hAnsi="Arial"/>
                <w:sz w:val="16"/>
                <w:szCs w:val="16"/>
              </w:rPr>
            </w:pPr>
          </w:p>
        </w:tc>
        <w:tc>
          <w:tcPr>
            <w:tcW w:w="2609" w:type="dxa"/>
            <w:tcBorders>
              <w:top w:val="nil"/>
              <w:left w:val="nil"/>
              <w:bottom w:val="nil"/>
              <w:right w:val="nil"/>
            </w:tcBorders>
          </w:tcPr>
          <w:p w14:paraId="131F30B2" w14:textId="77777777" w:rsidR="00DD2BEA" w:rsidRPr="00DD2BEA" w:rsidRDefault="00DD2BEA" w:rsidP="00DD2BEA">
            <w:pPr>
              <w:spacing w:before="40"/>
              <w:rPr>
                <w:rFonts w:ascii="Arial" w:hAnsi="Arial"/>
                <w:sz w:val="16"/>
                <w:szCs w:val="16"/>
              </w:rPr>
            </w:pPr>
          </w:p>
        </w:tc>
      </w:tr>
      <w:tr w:rsidR="00DD2BEA" w:rsidRPr="00DD2BEA" w14:paraId="44270678" w14:textId="77777777" w:rsidTr="70E080EC">
        <w:trPr>
          <w:cantSplit/>
          <w:trHeight w:val="1134"/>
          <w:tblCellSpacing w:w="28" w:type="dxa"/>
        </w:trPr>
        <w:tc>
          <w:tcPr>
            <w:tcW w:w="660" w:type="dxa"/>
            <w:vMerge/>
            <w:textDirection w:val="btLr"/>
          </w:tcPr>
          <w:p w14:paraId="2D52C6CF" w14:textId="77777777" w:rsidR="00DD2BEA" w:rsidRPr="00DD2BEA" w:rsidRDefault="00DD2BEA" w:rsidP="00DD2BEA">
            <w:pPr>
              <w:jc w:val="center"/>
              <w:rPr>
                <w:rFonts w:ascii="Arial" w:hAnsi="Arial"/>
                <w:b/>
                <w:bCs/>
                <w:color w:val="FFFFFF"/>
                <w:sz w:val="32"/>
                <w:szCs w:val="32"/>
              </w:rPr>
            </w:pPr>
          </w:p>
        </w:tc>
        <w:tc>
          <w:tcPr>
            <w:tcW w:w="566" w:type="dxa"/>
            <w:tcBorders>
              <w:top w:val="single" w:sz="12" w:space="0" w:color="FF0000"/>
              <w:left w:val="single" w:sz="12" w:space="0" w:color="FF0000"/>
              <w:bottom w:val="single" w:sz="12" w:space="0" w:color="FF0000"/>
              <w:right w:val="single" w:sz="12" w:space="0" w:color="FF0000"/>
            </w:tcBorders>
            <w:shd w:val="clear" w:color="auto" w:fill="FF0000"/>
            <w:textDirection w:val="btLr"/>
          </w:tcPr>
          <w:p w14:paraId="5BA1B822" w14:textId="77777777" w:rsidR="00DD2BEA" w:rsidRPr="00DD2BEA" w:rsidRDefault="00DD2BEA" w:rsidP="00DD2BEA">
            <w:pPr>
              <w:jc w:val="center"/>
              <w:rPr>
                <w:rFonts w:ascii="Arial" w:hAnsi="Arial"/>
                <w:b/>
                <w:bCs/>
                <w:color w:val="FFFFFF"/>
                <w:sz w:val="24"/>
                <w:szCs w:val="24"/>
              </w:rPr>
            </w:pPr>
            <w:r w:rsidRPr="00DD2BEA">
              <w:rPr>
                <w:rFonts w:ascii="Arial" w:hAnsi="Arial"/>
                <w:b/>
                <w:bCs/>
                <w:color w:val="FFFFFF"/>
                <w:sz w:val="24"/>
                <w:szCs w:val="24"/>
              </w:rPr>
              <w:t>Event</w:t>
            </w:r>
          </w:p>
        </w:tc>
        <w:tc>
          <w:tcPr>
            <w:tcW w:w="2406" w:type="dxa"/>
            <w:tcBorders>
              <w:top w:val="single" w:sz="12" w:space="0" w:color="FF0000"/>
              <w:left w:val="single" w:sz="12" w:space="0" w:color="FF0000"/>
              <w:bottom w:val="single" w:sz="12" w:space="0" w:color="FF0000"/>
              <w:right w:val="single" w:sz="12" w:space="0" w:color="FF0000"/>
            </w:tcBorders>
            <w:shd w:val="clear" w:color="auto" w:fill="FFAFAF"/>
          </w:tcPr>
          <w:p w14:paraId="6621CE62" w14:textId="77777777" w:rsidR="00DD2BEA" w:rsidRPr="00DD2BEA" w:rsidRDefault="00DD2BEA" w:rsidP="00DD2BEA">
            <w:pPr>
              <w:spacing w:before="40"/>
              <w:rPr>
                <w:rFonts w:ascii="Arial" w:hAnsi="Arial"/>
                <w:b/>
                <w:bCs/>
                <w:sz w:val="16"/>
                <w:szCs w:val="16"/>
              </w:rPr>
            </w:pPr>
            <w:r w:rsidRPr="00DD2BEA">
              <w:rPr>
                <w:rFonts w:ascii="Arial" w:hAnsi="Arial"/>
                <w:b/>
                <w:bCs/>
                <w:sz w:val="16"/>
                <w:szCs w:val="16"/>
              </w:rPr>
              <w:t>Level 1</w:t>
            </w:r>
          </w:p>
          <w:p w14:paraId="39F7843B" w14:textId="77777777" w:rsidR="00DD2BEA" w:rsidRPr="00DD2BEA" w:rsidRDefault="00DD2BEA" w:rsidP="00DD2BEA">
            <w:pPr>
              <w:spacing w:before="40"/>
              <w:rPr>
                <w:rFonts w:ascii="Arial" w:hAnsi="Arial"/>
                <w:sz w:val="16"/>
                <w:szCs w:val="16"/>
              </w:rPr>
            </w:pPr>
            <w:r w:rsidRPr="00DD2BEA">
              <w:rPr>
                <w:rFonts w:ascii="Arial" w:hAnsi="Arial"/>
                <w:sz w:val="16"/>
                <w:szCs w:val="16"/>
              </w:rPr>
              <w:t>Any incident attracting or likely to attract significant media or public interest, with a risk of reputational damage to the State.</w:t>
            </w:r>
          </w:p>
          <w:p w14:paraId="6798A439" w14:textId="77777777" w:rsidR="00DD2BEA" w:rsidRPr="00DD2BEA" w:rsidRDefault="00DD2BEA" w:rsidP="00DD2BEA">
            <w:pPr>
              <w:spacing w:before="40"/>
              <w:rPr>
                <w:rFonts w:ascii="Arial" w:hAnsi="Arial"/>
                <w:sz w:val="16"/>
                <w:szCs w:val="16"/>
              </w:rPr>
            </w:pPr>
          </w:p>
        </w:tc>
        <w:tc>
          <w:tcPr>
            <w:tcW w:w="2353" w:type="dxa"/>
            <w:tcBorders>
              <w:top w:val="single" w:sz="12" w:space="0" w:color="FF0000"/>
              <w:left w:val="single" w:sz="12" w:space="0" w:color="FF0000"/>
              <w:bottom w:val="single" w:sz="12" w:space="0" w:color="FF0000"/>
              <w:right w:val="single" w:sz="12" w:space="0" w:color="FF0000"/>
            </w:tcBorders>
            <w:shd w:val="clear" w:color="auto" w:fill="FFAFAF"/>
          </w:tcPr>
          <w:p w14:paraId="65E101E9" w14:textId="77777777" w:rsidR="00DD2BEA" w:rsidRPr="00DD2BEA" w:rsidRDefault="00DD2BEA" w:rsidP="00DD2BEA">
            <w:pPr>
              <w:spacing w:before="40"/>
              <w:rPr>
                <w:rFonts w:ascii="Arial" w:hAnsi="Arial"/>
                <w:b/>
                <w:bCs/>
                <w:sz w:val="16"/>
                <w:szCs w:val="16"/>
              </w:rPr>
            </w:pPr>
            <w:r w:rsidRPr="00DD2BEA">
              <w:rPr>
                <w:rFonts w:ascii="Arial" w:hAnsi="Arial"/>
                <w:b/>
                <w:bCs/>
                <w:sz w:val="16"/>
                <w:szCs w:val="16"/>
              </w:rPr>
              <w:t>Level 2</w:t>
            </w:r>
          </w:p>
          <w:p w14:paraId="0413345F" w14:textId="77777777" w:rsidR="00DD2BEA" w:rsidRPr="00DD2BEA" w:rsidRDefault="00DD2BEA" w:rsidP="00DD2BEA">
            <w:pPr>
              <w:spacing w:before="40"/>
              <w:rPr>
                <w:rFonts w:ascii="Arial" w:hAnsi="Arial"/>
                <w:sz w:val="16"/>
                <w:szCs w:val="16"/>
              </w:rPr>
            </w:pPr>
            <w:r w:rsidRPr="00DD2BEA">
              <w:rPr>
                <w:rFonts w:ascii="Arial" w:hAnsi="Arial"/>
                <w:sz w:val="16"/>
                <w:szCs w:val="16"/>
              </w:rPr>
              <w:t>Short-term major disruption</w:t>
            </w:r>
          </w:p>
          <w:p w14:paraId="6FCCC320" w14:textId="77777777" w:rsidR="00DD2BEA" w:rsidRPr="00DD2BEA" w:rsidRDefault="00DD2BEA" w:rsidP="00DD2BEA">
            <w:pPr>
              <w:spacing w:before="40"/>
              <w:rPr>
                <w:rFonts w:ascii="Arial" w:hAnsi="Arial"/>
                <w:sz w:val="16"/>
                <w:szCs w:val="16"/>
              </w:rPr>
            </w:pPr>
            <w:r w:rsidRPr="00DD2BEA">
              <w:rPr>
                <w:rFonts w:ascii="Arial" w:hAnsi="Arial"/>
                <w:sz w:val="16"/>
                <w:szCs w:val="16"/>
              </w:rPr>
              <w:t>Prolonged mild disruption.</w:t>
            </w:r>
          </w:p>
          <w:p w14:paraId="1D669FAF" w14:textId="5A91934C" w:rsidR="00DD2BEA" w:rsidRPr="00DD2BEA" w:rsidRDefault="00DD2BEA" w:rsidP="00DD2BEA">
            <w:pPr>
              <w:spacing w:before="40"/>
              <w:rPr>
                <w:rFonts w:ascii="Arial" w:hAnsi="Arial"/>
                <w:sz w:val="16"/>
                <w:szCs w:val="16"/>
              </w:rPr>
            </w:pPr>
            <w:r w:rsidRPr="70E080EC">
              <w:rPr>
                <w:rFonts w:ascii="Arial" w:hAnsi="Arial"/>
                <w:sz w:val="16"/>
                <w:szCs w:val="16"/>
              </w:rPr>
              <w:t xml:space="preserve">Substantial imbalance in the markets affecting primary grade fuel(s) </w:t>
            </w:r>
            <w:bookmarkStart w:id="1793" w:name="_Int_a8TTbo6U"/>
            <w:r w:rsidR="75C67B62" w:rsidRPr="70E080EC">
              <w:rPr>
                <w:rFonts w:ascii="Arial" w:hAnsi="Arial"/>
                <w:sz w:val="16"/>
                <w:szCs w:val="16"/>
              </w:rPr>
              <w:t>i.e.,</w:t>
            </w:r>
            <w:bookmarkEnd w:id="1793"/>
            <w:r w:rsidRPr="70E080EC">
              <w:rPr>
                <w:rFonts w:ascii="Arial" w:hAnsi="Arial"/>
                <w:sz w:val="16"/>
                <w:szCs w:val="16"/>
              </w:rPr>
              <w:t xml:space="preserve"> diesel, </w:t>
            </w:r>
            <w:proofErr w:type="gramStart"/>
            <w:r w:rsidRPr="70E080EC">
              <w:rPr>
                <w:rFonts w:ascii="Arial" w:hAnsi="Arial"/>
                <w:sz w:val="16"/>
                <w:szCs w:val="16"/>
              </w:rPr>
              <w:t>petroleum</w:t>
            </w:r>
            <w:proofErr w:type="gramEnd"/>
            <w:r w:rsidRPr="70E080EC">
              <w:rPr>
                <w:rFonts w:ascii="Arial" w:hAnsi="Arial"/>
                <w:sz w:val="16"/>
                <w:szCs w:val="16"/>
              </w:rPr>
              <w:t xml:space="preserve"> and jet fuel.</w:t>
            </w:r>
          </w:p>
          <w:p w14:paraId="0508B633" w14:textId="77777777" w:rsidR="00DD2BEA" w:rsidRPr="00DD2BEA" w:rsidRDefault="6F5421E9" w:rsidP="00DD2BEA">
            <w:pPr>
              <w:spacing w:before="40"/>
              <w:rPr>
                <w:rFonts w:ascii="Arial" w:hAnsi="Arial"/>
                <w:sz w:val="16"/>
                <w:szCs w:val="16"/>
              </w:rPr>
            </w:pPr>
            <w:r w:rsidRPr="00DD2BEA">
              <w:rPr>
                <w:rFonts w:ascii="Arial" w:hAnsi="Arial"/>
                <w:sz w:val="16"/>
                <w:szCs w:val="16"/>
              </w:rPr>
              <w:t>Prioritisation of fuel for ‘essential fuel users</w:t>
            </w:r>
            <w:r w:rsidR="00DD2BEA" w:rsidRPr="00DD2BEA">
              <w:rPr>
                <w:rFonts w:ascii="Arial" w:hAnsi="Arial"/>
                <w:sz w:val="16"/>
                <w:szCs w:val="16"/>
                <w:vertAlign w:val="superscript"/>
              </w:rPr>
              <w:footnoteReference w:id="5"/>
            </w:r>
            <w:r w:rsidRPr="00DD2BEA">
              <w:rPr>
                <w:rFonts w:ascii="Arial" w:hAnsi="Arial"/>
                <w:sz w:val="16"/>
                <w:szCs w:val="16"/>
              </w:rPr>
              <w:t>.</w:t>
            </w:r>
          </w:p>
          <w:p w14:paraId="3A4269CA"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Degree of complexity requires more substantial organisational structure. </w:t>
            </w:r>
          </w:p>
          <w:p w14:paraId="20E14B1E" w14:textId="77777777" w:rsidR="00DD2BEA" w:rsidRPr="00DD2BEA" w:rsidRDefault="00DD2BEA" w:rsidP="00DD2BEA">
            <w:pPr>
              <w:spacing w:before="40"/>
              <w:rPr>
                <w:rFonts w:ascii="Arial" w:hAnsi="Arial"/>
                <w:sz w:val="16"/>
                <w:szCs w:val="16"/>
              </w:rPr>
            </w:pPr>
          </w:p>
        </w:tc>
        <w:tc>
          <w:tcPr>
            <w:tcW w:w="2609" w:type="dxa"/>
            <w:tcBorders>
              <w:top w:val="single" w:sz="12" w:space="0" w:color="FF0000"/>
              <w:left w:val="single" w:sz="12" w:space="0" w:color="FF0000"/>
              <w:bottom w:val="single" w:sz="12" w:space="0" w:color="FF0000"/>
              <w:right w:val="single" w:sz="12" w:space="0" w:color="FF0000"/>
            </w:tcBorders>
            <w:shd w:val="clear" w:color="auto" w:fill="FFAFAF"/>
          </w:tcPr>
          <w:p w14:paraId="7E0B847A" w14:textId="77777777" w:rsidR="00DD2BEA" w:rsidRPr="00DD2BEA" w:rsidRDefault="00DD2BEA" w:rsidP="00DD2BEA">
            <w:pPr>
              <w:spacing w:before="40"/>
              <w:rPr>
                <w:rFonts w:ascii="Arial" w:hAnsi="Arial"/>
                <w:b/>
                <w:bCs/>
                <w:sz w:val="16"/>
                <w:szCs w:val="16"/>
              </w:rPr>
            </w:pPr>
            <w:r w:rsidRPr="00DD2BEA">
              <w:rPr>
                <w:rFonts w:ascii="Arial" w:hAnsi="Arial"/>
                <w:b/>
                <w:bCs/>
                <w:sz w:val="16"/>
                <w:szCs w:val="16"/>
              </w:rPr>
              <w:t xml:space="preserve">Level 3 </w:t>
            </w:r>
          </w:p>
          <w:p w14:paraId="1AE64092" w14:textId="77777777" w:rsidR="00DD2BEA" w:rsidRPr="00DD2BEA" w:rsidRDefault="00DD2BEA" w:rsidP="00DD2BEA">
            <w:pPr>
              <w:spacing w:before="40"/>
              <w:rPr>
                <w:rFonts w:ascii="Arial" w:hAnsi="Arial"/>
                <w:sz w:val="16"/>
                <w:szCs w:val="16"/>
              </w:rPr>
            </w:pPr>
            <w:r w:rsidRPr="00DD2BEA">
              <w:rPr>
                <w:rFonts w:ascii="Arial" w:hAnsi="Arial"/>
                <w:sz w:val="16"/>
                <w:szCs w:val="16"/>
              </w:rPr>
              <w:t xml:space="preserve">Widespread or severe disruption </w:t>
            </w:r>
          </w:p>
          <w:p w14:paraId="0E47EB72" w14:textId="77777777" w:rsidR="00DD2BEA" w:rsidRPr="00DD2BEA" w:rsidRDefault="00DD2BEA" w:rsidP="00DD2BEA">
            <w:pPr>
              <w:spacing w:before="40"/>
              <w:rPr>
                <w:rFonts w:ascii="Arial" w:hAnsi="Arial"/>
                <w:sz w:val="16"/>
                <w:szCs w:val="16"/>
              </w:rPr>
            </w:pPr>
            <w:r w:rsidRPr="70E080EC">
              <w:rPr>
                <w:rFonts w:ascii="Arial" w:hAnsi="Arial"/>
                <w:sz w:val="16"/>
                <w:szCs w:val="16"/>
              </w:rPr>
              <w:t xml:space="preserve">Critical impact on ‘essential </w:t>
            </w:r>
            <w:bookmarkStart w:id="1794" w:name="_Int_CIgPSBEr"/>
            <w:proofErr w:type="gramStart"/>
            <w:r w:rsidRPr="70E080EC">
              <w:rPr>
                <w:rFonts w:ascii="Arial" w:hAnsi="Arial"/>
                <w:sz w:val="16"/>
                <w:szCs w:val="16"/>
              </w:rPr>
              <w:t>users’</w:t>
            </w:r>
            <w:bookmarkEnd w:id="1794"/>
            <w:proofErr w:type="gramEnd"/>
            <w:r w:rsidRPr="70E080EC">
              <w:rPr>
                <w:rFonts w:ascii="Arial" w:hAnsi="Arial"/>
                <w:sz w:val="16"/>
                <w:szCs w:val="16"/>
              </w:rPr>
              <w:t>.</w:t>
            </w:r>
          </w:p>
          <w:p w14:paraId="7820360C" w14:textId="77777777" w:rsidR="00DD2BEA" w:rsidRPr="00DD2BEA" w:rsidRDefault="00DD2BEA" w:rsidP="00DD2BEA">
            <w:pPr>
              <w:spacing w:before="40"/>
              <w:rPr>
                <w:rFonts w:ascii="Arial" w:hAnsi="Arial"/>
                <w:sz w:val="16"/>
                <w:szCs w:val="16"/>
                <w:vertAlign w:val="superscript"/>
              </w:rPr>
            </w:pPr>
            <w:r w:rsidRPr="00DD2BEA">
              <w:rPr>
                <w:rFonts w:ascii="Arial" w:hAnsi="Arial"/>
                <w:sz w:val="16"/>
                <w:szCs w:val="16"/>
              </w:rPr>
              <w:t>Actual or imminent threat to supply for essential fuel users</w:t>
            </w:r>
            <w:r w:rsidRPr="00DD2BEA">
              <w:rPr>
                <w:rFonts w:ascii="Arial" w:hAnsi="Arial"/>
                <w:sz w:val="16"/>
                <w:szCs w:val="16"/>
                <w:vertAlign w:val="superscript"/>
              </w:rPr>
              <w:t>.</w:t>
            </w:r>
          </w:p>
          <w:p w14:paraId="06C66F10" w14:textId="77777777" w:rsidR="00DD2BEA" w:rsidRPr="00DD2BEA" w:rsidRDefault="00DD2BEA" w:rsidP="00DD2BEA">
            <w:pPr>
              <w:spacing w:before="40"/>
              <w:rPr>
                <w:rFonts w:ascii="Arial" w:hAnsi="Arial"/>
                <w:sz w:val="16"/>
                <w:szCs w:val="16"/>
              </w:rPr>
            </w:pPr>
            <w:r w:rsidRPr="00DD2BEA">
              <w:rPr>
                <w:rFonts w:ascii="Arial" w:hAnsi="Arial"/>
                <w:sz w:val="16"/>
                <w:szCs w:val="16"/>
              </w:rPr>
              <w:t>Multi-jurisdictional impacts</w:t>
            </w:r>
          </w:p>
          <w:p w14:paraId="059F604E" w14:textId="77777777" w:rsidR="00DD2BEA" w:rsidRPr="00DD2BEA" w:rsidRDefault="00DD2BEA" w:rsidP="00DD2BEA">
            <w:pPr>
              <w:spacing w:before="40"/>
              <w:rPr>
                <w:rFonts w:ascii="Arial" w:hAnsi="Arial"/>
                <w:sz w:val="16"/>
                <w:szCs w:val="16"/>
              </w:rPr>
            </w:pPr>
            <w:r w:rsidRPr="00DD2BEA">
              <w:rPr>
                <w:rFonts w:ascii="Arial" w:hAnsi="Arial"/>
                <w:sz w:val="16"/>
                <w:szCs w:val="16"/>
              </w:rPr>
              <w:t>A large and complex incident with potential or actual significant adverse consequences for the safety and wellbeing of the Victorian community or a part of the Victorian community.</w:t>
            </w:r>
          </w:p>
          <w:p w14:paraId="4E3E393F" w14:textId="77777777" w:rsidR="00DD2BEA" w:rsidRPr="00DD2BEA" w:rsidRDefault="00DD2BEA" w:rsidP="00DD2BEA">
            <w:pPr>
              <w:spacing w:before="40"/>
              <w:rPr>
                <w:rFonts w:ascii="Arial" w:hAnsi="Arial"/>
                <w:sz w:val="16"/>
                <w:szCs w:val="16"/>
              </w:rPr>
            </w:pPr>
          </w:p>
        </w:tc>
      </w:tr>
    </w:tbl>
    <w:p w14:paraId="2830089B" w14:textId="77777777" w:rsidR="00DD2BEA" w:rsidRPr="00DD2BEA" w:rsidRDefault="00DD2BEA" w:rsidP="00DD2BEA">
      <w:pPr>
        <w:spacing w:after="240" w:line="240" w:lineRule="auto"/>
        <w:rPr>
          <w:rFonts w:ascii="Arial" w:hAnsi="Arial"/>
          <w:color w:val="auto"/>
          <w:sz w:val="22"/>
          <w:szCs w:val="24"/>
        </w:rPr>
      </w:pPr>
    </w:p>
    <w:p w14:paraId="0061B8ED" w14:textId="7CAAD17C" w:rsidR="00DD2A1D" w:rsidRPr="003907AC" w:rsidRDefault="00DD2BEA" w:rsidP="00DD2A1D">
      <w:pPr>
        <w:pStyle w:val="Heading1"/>
      </w:pPr>
      <w:bookmarkStart w:id="1795" w:name="_Toc90319426"/>
      <w:bookmarkStart w:id="1796" w:name="_Toc2054093102"/>
      <w:bookmarkStart w:id="1797" w:name="_Toc1568980325"/>
      <w:bookmarkStart w:id="1798" w:name="_Toc951759519"/>
      <w:bookmarkStart w:id="1799" w:name="_Toc317061493"/>
      <w:bookmarkStart w:id="1800" w:name="_Toc1663362315"/>
      <w:bookmarkStart w:id="1801" w:name="_Toc1478873391"/>
      <w:bookmarkStart w:id="1802" w:name="_Toc145047447"/>
      <w:bookmarkStart w:id="1803" w:name="_Toc1015302819"/>
      <w:bookmarkStart w:id="1804" w:name="_Toc1215945176"/>
      <w:bookmarkStart w:id="1805" w:name="_Toc286620263"/>
      <w:bookmarkStart w:id="1806" w:name="_Toc2070646964"/>
      <w:bookmarkStart w:id="1807" w:name="_Toc1592790384"/>
      <w:bookmarkStart w:id="1808" w:name="_Toc1806048318"/>
      <w:bookmarkStart w:id="1809" w:name="_Toc987030313"/>
      <w:bookmarkStart w:id="1810" w:name="_Toc531368119"/>
      <w:bookmarkStart w:id="1811" w:name="_Toc114720204"/>
      <w:bookmarkStart w:id="1812" w:name="_Toc315202065"/>
      <w:bookmarkStart w:id="1813" w:name="_Toc39262870"/>
      <w:bookmarkStart w:id="1814" w:name="_Toc1865987185"/>
      <w:bookmarkStart w:id="1815" w:name="_Toc540471515"/>
      <w:bookmarkStart w:id="1816" w:name="_Toc1975054782"/>
      <w:bookmarkStart w:id="1817" w:name="_Toc785345569"/>
      <w:bookmarkStart w:id="1818" w:name="_Toc97841446"/>
      <w:bookmarkStart w:id="1819" w:name="_Toc506566044"/>
      <w:bookmarkStart w:id="1820" w:name="_Toc60074315"/>
      <w:bookmarkStart w:id="1821" w:name="_Toc816052305"/>
      <w:bookmarkStart w:id="1822" w:name="_Toc2061519614"/>
      <w:bookmarkStart w:id="1823" w:name="_Toc411252799"/>
      <w:bookmarkStart w:id="1824" w:name="_Toc855043500"/>
      <w:bookmarkStart w:id="1825" w:name="_Toc4856100"/>
      <w:bookmarkStart w:id="1826" w:name="_Toc1904222376"/>
      <w:bookmarkStart w:id="1827" w:name="_Toc290812565"/>
      <w:bookmarkStart w:id="1828" w:name="_Toc1488191311"/>
      <w:bookmarkStart w:id="1829" w:name="_Toc545584553"/>
      <w:bookmarkStart w:id="1830" w:name="_Toc1420029132"/>
      <w:bookmarkStart w:id="1831" w:name="_Toc1408295180"/>
      <w:bookmarkStart w:id="1832" w:name="_Toc606571820"/>
      <w:bookmarkStart w:id="1833" w:name="_Toc522540672"/>
      <w:bookmarkStart w:id="1834" w:name="_Toc1035696362"/>
      <w:bookmarkStart w:id="1835" w:name="_Toc298297125"/>
      <w:bookmarkStart w:id="1836" w:name="_Toc1480011405"/>
      <w:bookmarkStart w:id="1837" w:name="_Toc445887131"/>
      <w:bookmarkStart w:id="1838" w:name="_Toc1848989969"/>
      <w:bookmarkStart w:id="1839" w:name="_Toc475393219"/>
      <w:bookmarkStart w:id="1840" w:name="_Toc418685199"/>
      <w:bookmarkStart w:id="1841" w:name="_Toc94013214"/>
      <w:r>
        <w:t>A</w:t>
      </w:r>
      <w:r w:rsidR="00DD2A1D">
        <w:t>ppendix B: Multi-jurisdictional and state-level joint government-industry energy emergency management arrangements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3FFFFC51" w14:textId="77777777" w:rsidR="00DD2A1D" w:rsidRPr="003907AC" w:rsidRDefault="00DD2A1D" w:rsidP="007D7398">
      <w:pPr>
        <w:pStyle w:val="BodyText"/>
      </w:pPr>
      <w:r w:rsidRPr="003907AC">
        <w:t xml:space="preserve">Multi-jurisdictional and state-level joint government-industry energy emergency management arrangements include agreements between Australian state and territory governments and industry about the management and response to energy disruptions. These arrangements are supported by governance bodies who oversee planning, </w:t>
      </w:r>
      <w:proofErr w:type="gramStart"/>
      <w:r w:rsidRPr="003907AC">
        <w:t>preparedness</w:t>
      </w:r>
      <w:proofErr w:type="gramEnd"/>
      <w:r w:rsidRPr="003907AC">
        <w:t xml:space="preserve"> and response.</w:t>
      </w:r>
    </w:p>
    <w:p w14:paraId="5A7F8D50" w14:textId="77777777" w:rsidR="00DD2A1D" w:rsidRPr="003907AC" w:rsidRDefault="00DD2A1D" w:rsidP="00DD2A1D">
      <w:pPr>
        <w:pStyle w:val="Heading2"/>
      </w:pPr>
      <w:bookmarkStart w:id="1842" w:name="_Toc90319427"/>
      <w:bookmarkStart w:id="1843" w:name="_Toc94013215"/>
      <w:bookmarkStart w:id="1844" w:name="_Toc1938400084"/>
      <w:bookmarkStart w:id="1845" w:name="_Toc224488744"/>
      <w:bookmarkStart w:id="1846" w:name="_Toc253465783"/>
      <w:bookmarkStart w:id="1847" w:name="_Toc1874974388"/>
      <w:bookmarkStart w:id="1848" w:name="_Toc883610422"/>
      <w:bookmarkStart w:id="1849" w:name="_Toc365986778"/>
      <w:bookmarkStart w:id="1850" w:name="_Toc333465046"/>
      <w:bookmarkStart w:id="1851" w:name="_Toc524949016"/>
      <w:bookmarkStart w:id="1852" w:name="_Toc2026137334"/>
      <w:bookmarkStart w:id="1853" w:name="_Toc1248556013"/>
      <w:bookmarkStart w:id="1854" w:name="_Toc2008586808"/>
      <w:bookmarkStart w:id="1855" w:name="_Toc1501902811"/>
      <w:bookmarkStart w:id="1856" w:name="_Toc885769158"/>
      <w:bookmarkStart w:id="1857" w:name="_Toc408450058"/>
      <w:bookmarkStart w:id="1858" w:name="_Toc1519769238"/>
      <w:bookmarkStart w:id="1859" w:name="_Toc1973085154"/>
      <w:bookmarkStart w:id="1860" w:name="_Toc1227552368"/>
      <w:bookmarkStart w:id="1861" w:name="_Toc1960563586"/>
      <w:bookmarkStart w:id="1862" w:name="_Toc1084297913"/>
      <w:bookmarkStart w:id="1863" w:name="_Toc1672460641"/>
      <w:bookmarkStart w:id="1864" w:name="_Toc220591450"/>
      <w:bookmarkStart w:id="1865" w:name="_Toc1199853555"/>
      <w:bookmarkStart w:id="1866" w:name="_Toc2074459421"/>
      <w:bookmarkStart w:id="1867" w:name="_Toc289307306"/>
      <w:bookmarkStart w:id="1868" w:name="_Toc484784476"/>
      <w:bookmarkStart w:id="1869" w:name="_Toc1089197960"/>
      <w:bookmarkStart w:id="1870" w:name="_Toc485554064"/>
      <w:bookmarkStart w:id="1871" w:name="_Toc2055890374"/>
      <w:bookmarkStart w:id="1872" w:name="_Toc2104729315"/>
      <w:bookmarkStart w:id="1873" w:name="_Toc372381719"/>
      <w:bookmarkStart w:id="1874" w:name="_Toc680276473"/>
      <w:bookmarkStart w:id="1875" w:name="_Toc169024669"/>
      <w:bookmarkStart w:id="1876" w:name="_Toc1257637627"/>
      <w:bookmarkStart w:id="1877" w:name="_Toc1513459717"/>
      <w:bookmarkStart w:id="1878" w:name="_Toc299057048"/>
      <w:bookmarkStart w:id="1879" w:name="_Toc629497968"/>
      <w:bookmarkStart w:id="1880" w:name="_Toc1034905089"/>
      <w:bookmarkStart w:id="1881" w:name="_Toc2016459090"/>
      <w:bookmarkStart w:id="1882" w:name="_Toc671433104"/>
      <w:bookmarkStart w:id="1883" w:name="_Toc20155152"/>
      <w:bookmarkStart w:id="1884" w:name="_Toc988681360"/>
      <w:bookmarkStart w:id="1885" w:name="_Toc2052788709"/>
      <w:bookmarkStart w:id="1886" w:name="_Toc1494389214"/>
      <w:bookmarkStart w:id="1887" w:name="_Toc1152647154"/>
      <w:bookmarkStart w:id="1888" w:name="_Toc974087855"/>
      <w:r>
        <w:lastRenderedPageBreak/>
        <w:t>Electricity</w:t>
      </w:r>
      <w:bookmarkEnd w:id="1842"/>
      <w:bookmarkEnd w:id="1843"/>
      <w:r>
        <w:t xml:space="preserve"> </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tbl>
      <w:tblPr>
        <w:tblStyle w:val="TableGrid4"/>
        <w:tblW w:w="8643" w:type="dxa"/>
        <w:tblCellSpacing w:w="28" w:type="dxa"/>
        <w:tblLook w:val="04A0" w:firstRow="1" w:lastRow="0" w:firstColumn="1" w:lastColumn="0" w:noHBand="0" w:noVBand="1"/>
      </w:tblPr>
      <w:tblGrid>
        <w:gridCol w:w="1194"/>
        <w:gridCol w:w="649"/>
        <w:gridCol w:w="2410"/>
        <w:gridCol w:w="4390"/>
      </w:tblGrid>
      <w:tr w:rsidR="00DD2BEA" w:rsidRPr="00DD2BEA" w14:paraId="4CF2027F" w14:textId="77777777" w:rsidTr="70E080EC">
        <w:trPr>
          <w:cantSplit/>
          <w:trHeight w:val="847"/>
          <w:tblHeader/>
          <w:tblCellSpacing w:w="28" w:type="dxa"/>
        </w:trPr>
        <w:tc>
          <w:tcPr>
            <w:tcW w:w="1110" w:type="dxa"/>
            <w:tcBorders>
              <w:top w:val="nil"/>
              <w:left w:val="nil"/>
              <w:bottom w:val="nil"/>
              <w:right w:val="nil"/>
            </w:tcBorders>
            <w:textDirection w:val="btLr"/>
          </w:tcPr>
          <w:p w14:paraId="24253099" w14:textId="77777777" w:rsidR="00DD2BEA" w:rsidRPr="00DD2BEA" w:rsidRDefault="00DD2BEA" w:rsidP="00DD2BEA">
            <w:pPr>
              <w:jc w:val="center"/>
              <w:rPr>
                <w:rFonts w:ascii="Arial" w:hAnsi="Arial"/>
                <w:b/>
                <w:bCs/>
                <w:color w:val="FFFFFF"/>
                <w:sz w:val="30"/>
                <w:szCs w:val="30"/>
              </w:rPr>
            </w:pPr>
            <w:r w:rsidRPr="00DD2BEA">
              <w:rPr>
                <w:rFonts w:ascii="Arial" w:hAnsi="Arial"/>
                <w:b/>
                <w:bCs/>
                <w:noProof/>
                <w:color w:val="FFFFFF"/>
                <w:sz w:val="30"/>
                <w:szCs w:val="30"/>
              </w:rPr>
              <w:drawing>
                <wp:inline distT="0" distB="0" distL="0" distR="0" wp14:anchorId="65940E15" wp14:editId="7BED30D0">
                  <wp:extent cx="409433" cy="409433"/>
                  <wp:effectExtent l="0" t="0" r="0" b="0"/>
                  <wp:docPr id="5" name="Graphic 5" descr="Electric Tow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lectric Tower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17742" cy="417742"/>
                          </a:xfrm>
                          <a:prstGeom prst="rect">
                            <a:avLst/>
                          </a:prstGeom>
                        </pic:spPr>
                      </pic:pic>
                    </a:graphicData>
                  </a:graphic>
                </wp:inline>
              </w:drawing>
            </w:r>
          </w:p>
        </w:tc>
        <w:tc>
          <w:tcPr>
            <w:tcW w:w="593" w:type="dxa"/>
            <w:tcBorders>
              <w:top w:val="nil"/>
              <w:left w:val="nil"/>
              <w:bottom w:val="nil"/>
              <w:right w:val="nil"/>
            </w:tcBorders>
          </w:tcPr>
          <w:p w14:paraId="41C62C42" w14:textId="77777777" w:rsidR="00DD2BEA" w:rsidRPr="00DD2BEA" w:rsidRDefault="00DD2BEA" w:rsidP="00DD2BEA">
            <w:pPr>
              <w:jc w:val="center"/>
              <w:rPr>
                <w:rFonts w:ascii="Arial" w:hAnsi="Arial"/>
                <w:b/>
                <w:bCs/>
                <w:sz w:val="22"/>
                <w:szCs w:val="22"/>
              </w:rPr>
            </w:pPr>
          </w:p>
        </w:tc>
        <w:tc>
          <w:tcPr>
            <w:tcW w:w="2354" w:type="dxa"/>
            <w:tcBorders>
              <w:top w:val="nil"/>
              <w:left w:val="nil"/>
              <w:bottom w:val="nil"/>
              <w:right w:val="nil"/>
            </w:tcBorders>
            <w:shd w:val="clear" w:color="auto" w:fill="E7E6E6"/>
            <w:vAlign w:val="center"/>
          </w:tcPr>
          <w:p w14:paraId="6A9CAF2C"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Arrangement</w:t>
            </w:r>
          </w:p>
        </w:tc>
        <w:tc>
          <w:tcPr>
            <w:tcW w:w="4306" w:type="dxa"/>
            <w:tcBorders>
              <w:top w:val="nil"/>
              <w:left w:val="nil"/>
              <w:bottom w:val="nil"/>
              <w:right w:val="nil"/>
            </w:tcBorders>
            <w:shd w:val="clear" w:color="auto" w:fill="E7E6E6"/>
            <w:vAlign w:val="center"/>
          </w:tcPr>
          <w:p w14:paraId="17F92AF7"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Description</w:t>
            </w:r>
          </w:p>
        </w:tc>
      </w:tr>
      <w:tr w:rsidR="00DD2BEA" w:rsidRPr="00DD2BEA" w14:paraId="1FD1D1C7" w14:textId="77777777" w:rsidTr="70E080EC">
        <w:trPr>
          <w:cantSplit/>
          <w:trHeight w:val="650"/>
          <w:tblCellSpacing w:w="28" w:type="dxa"/>
        </w:trPr>
        <w:tc>
          <w:tcPr>
            <w:tcW w:w="1110" w:type="dxa"/>
            <w:vMerge w:val="restart"/>
            <w:tcBorders>
              <w:top w:val="nil"/>
              <w:left w:val="nil"/>
              <w:bottom w:val="nil"/>
              <w:right w:val="nil"/>
            </w:tcBorders>
            <w:shd w:val="clear" w:color="auto" w:fill="D9D9D9" w:themeFill="background1" w:themeFillShade="D9"/>
            <w:textDirection w:val="btLr"/>
          </w:tcPr>
          <w:p w14:paraId="7B56A7E3" w14:textId="77777777" w:rsidR="00DD2BEA" w:rsidRPr="00DD2BEA" w:rsidRDefault="00DD2BEA" w:rsidP="00DD2BEA">
            <w:pPr>
              <w:jc w:val="center"/>
              <w:rPr>
                <w:rFonts w:ascii="Arial" w:hAnsi="Arial"/>
                <w:b/>
                <w:bCs/>
                <w:color w:val="FFFFFF"/>
                <w:sz w:val="30"/>
                <w:szCs w:val="30"/>
              </w:rPr>
            </w:pPr>
            <w:r w:rsidRPr="00DD2BEA">
              <w:rPr>
                <w:rFonts w:ascii="Arial" w:hAnsi="Arial"/>
                <w:b/>
                <w:bCs/>
                <w:sz w:val="30"/>
                <w:szCs w:val="30"/>
              </w:rPr>
              <w:t>Electricity</w:t>
            </w:r>
          </w:p>
        </w:tc>
        <w:tc>
          <w:tcPr>
            <w:tcW w:w="593" w:type="dxa"/>
            <w:vMerge w:val="restart"/>
            <w:tcBorders>
              <w:top w:val="nil"/>
              <w:left w:val="nil"/>
              <w:bottom w:val="nil"/>
              <w:right w:val="nil"/>
            </w:tcBorders>
            <w:shd w:val="clear" w:color="auto" w:fill="D9D9D9" w:themeFill="background1" w:themeFillShade="D9"/>
            <w:textDirection w:val="btLr"/>
          </w:tcPr>
          <w:p w14:paraId="4673A2EE"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State-level</w:t>
            </w: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D3E5ADA"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Victorian Electricity Emergency Committee (VEEC)</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C304798" w14:textId="6BE11051" w:rsidR="00DD2BEA" w:rsidRPr="00DD2BEA" w:rsidRDefault="00DD2BEA" w:rsidP="70E080EC">
            <w:pPr>
              <w:autoSpaceDE w:val="0"/>
              <w:autoSpaceDN w:val="0"/>
              <w:adjustRightInd w:val="0"/>
              <w:spacing w:before="120" w:after="120"/>
              <w:rPr>
                <w:rFonts w:ascii="Arial" w:hAnsi="Arial"/>
                <w:color w:val="000000"/>
                <w:sz w:val="16"/>
                <w:szCs w:val="16"/>
              </w:rPr>
            </w:pPr>
            <w:r w:rsidRPr="70E080EC">
              <w:rPr>
                <w:rFonts w:ascii="Arial" w:hAnsi="Arial"/>
                <w:color w:val="000000"/>
                <w:sz w:val="16"/>
                <w:szCs w:val="16"/>
              </w:rPr>
              <w:t xml:space="preserve">VEEC participants include electricity distribution, </w:t>
            </w:r>
            <w:proofErr w:type="gramStart"/>
            <w:r w:rsidRPr="70E080EC">
              <w:rPr>
                <w:rFonts w:ascii="Arial" w:hAnsi="Arial"/>
                <w:color w:val="000000"/>
                <w:sz w:val="16"/>
                <w:szCs w:val="16"/>
              </w:rPr>
              <w:t>transmission</w:t>
            </w:r>
            <w:proofErr w:type="gramEnd"/>
            <w:r w:rsidRPr="70E080EC">
              <w:rPr>
                <w:rFonts w:ascii="Arial" w:hAnsi="Arial"/>
                <w:color w:val="000000"/>
                <w:sz w:val="16"/>
                <w:szCs w:val="16"/>
              </w:rPr>
              <w:t xml:space="preserve"> and generation businesses, DELWP, ESV, Victorian emergency services, Victoria Police, AEMO, EMV, DFFH, DH and other government agencies.</w:t>
            </w:r>
          </w:p>
          <w:p w14:paraId="013863E4" w14:textId="3E658DBF" w:rsidR="00DD2BEA" w:rsidRPr="00DD2BEA" w:rsidRDefault="6F5421E9" w:rsidP="7EA0B018">
            <w:pPr>
              <w:autoSpaceDE w:val="0"/>
              <w:autoSpaceDN w:val="0"/>
              <w:adjustRightInd w:val="0"/>
              <w:spacing w:before="120" w:after="120"/>
              <w:rPr>
                <w:rFonts w:ascii="Arial" w:hAnsi="Arial"/>
                <w:color w:val="000000"/>
                <w:sz w:val="16"/>
                <w:szCs w:val="16"/>
              </w:rPr>
            </w:pPr>
            <w:r w:rsidRPr="7EA0B018">
              <w:rPr>
                <w:rFonts w:ascii="Arial" w:hAnsi="Arial"/>
                <w:color w:val="000000"/>
                <w:sz w:val="16"/>
                <w:szCs w:val="16"/>
              </w:rPr>
              <w:t>VEEC can be convened concurrently with NEMEMF to manage any Victorian specific elements of an electricity emergency.</w:t>
            </w:r>
            <w:r w:rsidR="24C97722" w:rsidRPr="7EA0B018">
              <w:rPr>
                <w:rFonts w:ascii="Arial" w:hAnsi="Arial"/>
                <w:color w:val="000000"/>
                <w:sz w:val="16"/>
                <w:szCs w:val="16"/>
              </w:rPr>
              <w:t xml:space="preserve"> This committee is not convened in emergencies, but meets twice a year to:</w:t>
            </w:r>
          </w:p>
          <w:p w14:paraId="10BAC2C5" w14:textId="2B063D98"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Define and review electricity emergency information sharing processes to enhance coordination activities and information management. This includes the annual review of the VEEC Protocol.</w:t>
            </w:r>
          </w:p>
          <w:p w14:paraId="7A304ED8" w14:textId="415EDF20"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 xml:space="preserve">Promote sector resilience in relation to preparedness, </w:t>
            </w:r>
            <w:proofErr w:type="gramStart"/>
            <w:r w:rsidRPr="7EA0B018">
              <w:rPr>
                <w:rFonts w:ascii="Arial" w:hAnsi="Arial" w:cs="Arial"/>
                <w:sz w:val="16"/>
                <w:szCs w:val="16"/>
              </w:rPr>
              <w:t>response</w:t>
            </w:r>
            <w:proofErr w:type="gramEnd"/>
            <w:r w:rsidRPr="7EA0B018">
              <w:rPr>
                <w:rFonts w:ascii="Arial" w:hAnsi="Arial" w:cs="Arial"/>
                <w:sz w:val="16"/>
                <w:szCs w:val="16"/>
              </w:rPr>
              <w:t xml:space="preserve"> and recovery activities from electricity emergencies.</w:t>
            </w:r>
          </w:p>
          <w:p w14:paraId="6CD8C073" w14:textId="0A7E63B9"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Provide input to the development of annual VEEC emergency exercises including:</w:t>
            </w:r>
          </w:p>
          <w:p w14:paraId="6F586939" w14:textId="5EDB4CD9"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 xml:space="preserve">Provide representation in work teams to implement actions identified through VEEC emergency exercises and meetings that have been endorsed by the committee. </w:t>
            </w:r>
          </w:p>
          <w:p w14:paraId="67C6802C" w14:textId="1CC4A005"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Review post exercise reports and.</w:t>
            </w:r>
          </w:p>
          <w:p w14:paraId="2337695D" w14:textId="13E690CE" w:rsidR="00DD2BEA" w:rsidRPr="00DD2BEA" w:rsidRDefault="24C97722" w:rsidP="7EA0B018">
            <w:pPr>
              <w:pStyle w:val="ListParagraph"/>
              <w:numPr>
                <w:ilvl w:val="0"/>
                <w:numId w:val="4"/>
              </w:numPr>
              <w:autoSpaceDE w:val="0"/>
              <w:autoSpaceDN w:val="0"/>
              <w:adjustRightInd w:val="0"/>
              <w:rPr>
                <w:rFonts w:asciiTheme="minorHAnsi" w:eastAsiaTheme="minorEastAsia" w:hAnsiTheme="minorHAnsi" w:cstheme="minorBidi"/>
                <w:sz w:val="16"/>
                <w:szCs w:val="16"/>
              </w:rPr>
            </w:pPr>
            <w:r w:rsidRPr="7EA0B018">
              <w:rPr>
                <w:rFonts w:ascii="Arial" w:hAnsi="Arial" w:cs="Arial"/>
                <w:sz w:val="16"/>
                <w:szCs w:val="16"/>
              </w:rPr>
              <w:t>Identify areas of opportunity for improvement initiatives.</w:t>
            </w:r>
          </w:p>
        </w:tc>
      </w:tr>
      <w:tr w:rsidR="00DD2BEA" w:rsidRPr="00DD2BEA" w14:paraId="4C391123" w14:textId="77777777" w:rsidTr="70E080EC">
        <w:trPr>
          <w:cantSplit/>
          <w:trHeight w:val="1441"/>
          <w:tblCellSpacing w:w="28" w:type="dxa"/>
        </w:trPr>
        <w:tc>
          <w:tcPr>
            <w:tcW w:w="1110" w:type="dxa"/>
            <w:vMerge/>
            <w:textDirection w:val="btLr"/>
          </w:tcPr>
          <w:p w14:paraId="4F699396" w14:textId="77777777" w:rsidR="00DD2BEA" w:rsidRPr="00DD2BEA" w:rsidRDefault="00DD2BEA" w:rsidP="00DD2BEA">
            <w:pPr>
              <w:jc w:val="center"/>
              <w:rPr>
                <w:rFonts w:ascii="Arial" w:hAnsi="Arial"/>
                <w:b/>
                <w:bCs/>
                <w:sz w:val="30"/>
                <w:szCs w:val="30"/>
              </w:rPr>
            </w:pPr>
          </w:p>
        </w:tc>
        <w:tc>
          <w:tcPr>
            <w:tcW w:w="593" w:type="dxa"/>
            <w:vMerge/>
            <w:textDirection w:val="btLr"/>
          </w:tcPr>
          <w:p w14:paraId="204FC899"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FCF46A9"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 xml:space="preserve">Victorian Electricity Emergency Communication Protocol (VEECP). </w:t>
            </w:r>
          </w:p>
          <w:p w14:paraId="3DD69A43" w14:textId="77777777" w:rsidR="00DD2BEA" w:rsidRPr="00DD2BEA" w:rsidRDefault="00DD2BEA" w:rsidP="00DD2BEA">
            <w:pPr>
              <w:autoSpaceDE w:val="0"/>
              <w:autoSpaceDN w:val="0"/>
              <w:adjustRightInd w:val="0"/>
              <w:spacing w:before="120" w:after="120"/>
              <w:rPr>
                <w:rFonts w:ascii="Arial" w:hAnsi="Arial"/>
                <w:bCs/>
                <w:color w:val="000000"/>
                <w:sz w:val="16"/>
                <w:szCs w:val="16"/>
              </w:rPr>
            </w:pP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CE8C026" w14:textId="77777777" w:rsidR="00DD2BEA" w:rsidRPr="00DD2BEA" w:rsidRDefault="00DD2BEA" w:rsidP="00DD2BEA">
            <w:pPr>
              <w:rPr>
                <w:rFonts w:ascii="Arial" w:hAnsi="Arial"/>
                <w:bCs/>
                <w:color w:val="000000"/>
                <w:sz w:val="16"/>
                <w:szCs w:val="16"/>
              </w:rPr>
            </w:pPr>
            <w:r w:rsidRPr="00DD2BEA">
              <w:rPr>
                <w:rFonts w:ascii="Arial" w:hAnsi="Arial"/>
                <w:bCs/>
                <w:color w:val="000000"/>
                <w:sz w:val="16"/>
                <w:szCs w:val="16"/>
              </w:rPr>
              <w:t>The Victorian Electricity Emergency Communications Protocol (VEECP) facilitates timely sharing of information between Victorian Electricity Emergency Committee (VEEC) members when responding to an actual or likely energy emergency event. Triggers for activation of the protocol include actual or forecast events that threaten the power system.</w:t>
            </w:r>
          </w:p>
          <w:p w14:paraId="38205A68" w14:textId="77777777" w:rsidR="00DD2BEA" w:rsidRPr="00DD2BEA" w:rsidRDefault="00DD2BEA" w:rsidP="00DD2BEA">
            <w:pPr>
              <w:rPr>
                <w:rFonts w:ascii="Arial" w:hAnsi="Arial"/>
                <w:bCs/>
                <w:color w:val="000000"/>
                <w:sz w:val="16"/>
                <w:szCs w:val="16"/>
              </w:rPr>
            </w:pPr>
          </w:p>
        </w:tc>
      </w:tr>
      <w:tr w:rsidR="00DD2BEA" w:rsidRPr="00DD2BEA" w14:paraId="13C895E7" w14:textId="77777777" w:rsidTr="70E080EC">
        <w:trPr>
          <w:cantSplit/>
          <w:trHeight w:val="1441"/>
          <w:tblCellSpacing w:w="28" w:type="dxa"/>
        </w:trPr>
        <w:tc>
          <w:tcPr>
            <w:tcW w:w="1110" w:type="dxa"/>
            <w:vMerge/>
            <w:textDirection w:val="btLr"/>
          </w:tcPr>
          <w:p w14:paraId="44533EE3" w14:textId="77777777" w:rsidR="00DD2BEA" w:rsidRPr="00DD2BEA" w:rsidRDefault="00DD2BEA" w:rsidP="00DD2BEA">
            <w:pPr>
              <w:jc w:val="center"/>
              <w:rPr>
                <w:rFonts w:ascii="Arial" w:hAnsi="Arial"/>
                <w:b/>
                <w:bCs/>
                <w:sz w:val="30"/>
                <w:szCs w:val="30"/>
              </w:rPr>
            </w:pPr>
          </w:p>
        </w:tc>
        <w:tc>
          <w:tcPr>
            <w:tcW w:w="593" w:type="dxa"/>
            <w:vMerge/>
            <w:textDirection w:val="btLr"/>
          </w:tcPr>
          <w:p w14:paraId="48A055C4"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A072F19"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Single Industry Spokesperson Protocol for Electricity in Victoria (SISP)</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0A6A555" w14:textId="77777777" w:rsidR="00DD2BEA" w:rsidRPr="00DD2BEA" w:rsidRDefault="00DD2BEA" w:rsidP="00DD2BEA">
            <w:pPr>
              <w:rPr>
                <w:rFonts w:ascii="Arial" w:hAnsi="Arial"/>
                <w:bCs/>
                <w:color w:val="000000"/>
                <w:sz w:val="16"/>
                <w:szCs w:val="16"/>
              </w:rPr>
            </w:pPr>
            <w:r w:rsidRPr="00DD2BEA">
              <w:rPr>
                <w:rFonts w:ascii="Arial" w:hAnsi="Arial"/>
                <w:bCs/>
                <w:color w:val="000000"/>
                <w:sz w:val="16"/>
                <w:szCs w:val="16"/>
              </w:rPr>
              <w:t xml:space="preserve">SISP participants include: AEMO, CitiPower and </w:t>
            </w:r>
            <w:proofErr w:type="spellStart"/>
            <w:r w:rsidRPr="00DD2BEA">
              <w:rPr>
                <w:rFonts w:ascii="Arial" w:hAnsi="Arial"/>
                <w:bCs/>
                <w:color w:val="000000"/>
                <w:sz w:val="16"/>
                <w:szCs w:val="16"/>
              </w:rPr>
              <w:t>Powercor</w:t>
            </w:r>
            <w:proofErr w:type="spellEnd"/>
            <w:r w:rsidRPr="00DD2BEA">
              <w:rPr>
                <w:rFonts w:ascii="Arial" w:hAnsi="Arial"/>
                <w:bCs/>
                <w:color w:val="000000"/>
                <w:sz w:val="16"/>
                <w:szCs w:val="16"/>
              </w:rPr>
              <w:t>, AusNet Services, Jemena, United Energy, ESV and DELWP (usually represented by the Communications Specialist).</w:t>
            </w:r>
          </w:p>
          <w:p w14:paraId="642159C9" w14:textId="77777777" w:rsidR="00DD2BEA" w:rsidRPr="00DD2BEA" w:rsidRDefault="00DD2BEA" w:rsidP="00DD2BEA">
            <w:pPr>
              <w:rPr>
                <w:rFonts w:ascii="Arial" w:hAnsi="Arial"/>
                <w:bCs/>
                <w:color w:val="000000"/>
                <w:sz w:val="16"/>
                <w:szCs w:val="16"/>
              </w:rPr>
            </w:pPr>
            <w:r w:rsidRPr="00DD2BEA">
              <w:rPr>
                <w:rFonts w:ascii="Arial" w:hAnsi="Arial"/>
                <w:bCs/>
                <w:color w:val="000000"/>
                <w:sz w:val="16"/>
                <w:szCs w:val="16"/>
              </w:rPr>
              <w:t>The SISP ensures coordinated and timely agreed key messages and give clear advice about the status of a widespread electricity emergency.</w:t>
            </w:r>
          </w:p>
          <w:p w14:paraId="6E7E5ECA" w14:textId="77777777" w:rsidR="00DD2BEA" w:rsidRPr="00DD2BEA" w:rsidRDefault="00DD2BEA" w:rsidP="00DD2BEA">
            <w:pPr>
              <w:rPr>
                <w:rFonts w:ascii="Arial" w:hAnsi="Arial"/>
                <w:bCs/>
                <w:color w:val="000000"/>
                <w:sz w:val="16"/>
                <w:szCs w:val="16"/>
              </w:rPr>
            </w:pPr>
            <w:r w:rsidRPr="00DD2BEA">
              <w:rPr>
                <w:rFonts w:ascii="Arial" w:hAnsi="Arial"/>
                <w:bCs/>
                <w:color w:val="000000"/>
                <w:sz w:val="16"/>
                <w:szCs w:val="16"/>
              </w:rPr>
              <w:t xml:space="preserve">Contains relevant trigger, procedures, policies, roles, responsibilities, contact details and </w:t>
            </w:r>
          </w:p>
          <w:p w14:paraId="0107655F" w14:textId="77777777" w:rsidR="00DD2BEA" w:rsidRPr="00DD2BEA" w:rsidRDefault="00DD2BEA" w:rsidP="00DD2BEA">
            <w:pPr>
              <w:rPr>
                <w:rFonts w:ascii="Arial" w:hAnsi="Arial"/>
                <w:bCs/>
                <w:color w:val="000000"/>
                <w:sz w:val="16"/>
                <w:szCs w:val="16"/>
              </w:rPr>
            </w:pPr>
            <w:r w:rsidRPr="00DD2BEA">
              <w:rPr>
                <w:rFonts w:ascii="Arial" w:hAnsi="Arial"/>
                <w:bCs/>
                <w:color w:val="000000"/>
                <w:sz w:val="16"/>
                <w:szCs w:val="16"/>
              </w:rPr>
              <w:t>draft media materials.</w:t>
            </w:r>
          </w:p>
        </w:tc>
      </w:tr>
      <w:tr w:rsidR="00DD2BEA" w:rsidRPr="00DD2BEA" w14:paraId="76F82849" w14:textId="77777777" w:rsidTr="70E080EC">
        <w:trPr>
          <w:cantSplit/>
          <w:trHeight w:val="1172"/>
          <w:tblCellSpacing w:w="28" w:type="dxa"/>
        </w:trPr>
        <w:tc>
          <w:tcPr>
            <w:tcW w:w="1110" w:type="dxa"/>
            <w:vMerge/>
          </w:tcPr>
          <w:p w14:paraId="112B6EBA" w14:textId="77777777" w:rsidR="00DD2BEA" w:rsidRPr="00DD2BEA" w:rsidRDefault="00DD2BEA" w:rsidP="00DD2BEA">
            <w:pPr>
              <w:jc w:val="center"/>
              <w:rPr>
                <w:rFonts w:ascii="Arial" w:hAnsi="Arial"/>
                <w:b/>
                <w:bCs/>
                <w:color w:val="FFFFFF"/>
                <w:sz w:val="30"/>
                <w:szCs w:val="30"/>
              </w:rPr>
            </w:pPr>
          </w:p>
        </w:tc>
        <w:tc>
          <w:tcPr>
            <w:tcW w:w="593" w:type="dxa"/>
            <w:vMerge w:val="restart"/>
            <w:tcBorders>
              <w:top w:val="nil"/>
              <w:left w:val="nil"/>
              <w:bottom w:val="nil"/>
              <w:right w:val="nil"/>
            </w:tcBorders>
            <w:shd w:val="clear" w:color="auto" w:fill="D9D9D9" w:themeFill="background1" w:themeFillShade="D9"/>
            <w:textDirection w:val="btLr"/>
          </w:tcPr>
          <w:p w14:paraId="4A439034" w14:textId="77777777" w:rsidR="00DD2BEA" w:rsidRPr="00DD2BEA" w:rsidRDefault="00DD2BEA" w:rsidP="00DD2BEA">
            <w:pPr>
              <w:ind w:left="113" w:right="113"/>
              <w:jc w:val="center"/>
              <w:rPr>
                <w:rFonts w:ascii="Arial" w:hAnsi="Arial"/>
                <w:b/>
                <w:bCs/>
                <w:sz w:val="30"/>
                <w:szCs w:val="30"/>
              </w:rPr>
            </w:pPr>
            <w:r w:rsidRPr="00DD2BEA">
              <w:rPr>
                <w:rFonts w:ascii="Arial" w:hAnsi="Arial"/>
                <w:b/>
                <w:bCs/>
                <w:sz w:val="22"/>
                <w:szCs w:val="22"/>
              </w:rPr>
              <w:t>Multi-jurisdictional</w:t>
            </w:r>
          </w:p>
        </w:tc>
        <w:tc>
          <w:tcPr>
            <w:tcW w:w="2354"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1CFFE6AF"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National Electricity Market Emergency Management Forum (NEMEMF)</w:t>
            </w:r>
          </w:p>
        </w:tc>
        <w:tc>
          <w:tcPr>
            <w:tcW w:w="4306"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204183D2"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The National Electricity Market Emergency Management Forum (NEMEMF) is chaired by AEMO and consists of representatives from industry and state and federal governments. It is charged with reviewing and improving the emergency plans and procedures that apply during power system emergencies, including the PSEMP. Key to this improvement process is participation in annual exercises that test these emergency arrangements.</w:t>
            </w:r>
          </w:p>
          <w:p w14:paraId="0C6AC444" w14:textId="77777777" w:rsidR="00DD2BEA" w:rsidRPr="00DD2BEA" w:rsidRDefault="00DD2BEA" w:rsidP="00DD2BEA">
            <w:pPr>
              <w:rPr>
                <w:rFonts w:ascii="Arial" w:hAnsi="Arial"/>
                <w:sz w:val="16"/>
                <w:szCs w:val="16"/>
              </w:rPr>
            </w:pPr>
            <w:r w:rsidRPr="00DD2BEA">
              <w:rPr>
                <w:rFonts w:ascii="Arial" w:hAnsi="Arial"/>
                <w:bCs/>
                <w:sz w:val="16"/>
                <w:szCs w:val="16"/>
              </w:rPr>
              <w:t>For a dual e</w:t>
            </w:r>
            <w:r w:rsidRPr="00DD2BEA">
              <w:rPr>
                <w:rFonts w:ascii="Arial" w:hAnsi="Arial"/>
                <w:sz w:val="16"/>
                <w:szCs w:val="16"/>
              </w:rPr>
              <w:t xml:space="preserve">nergy multi-jurisdictional event impacting both electricity and gas supply, the NEMEMF will coordinate with the NGERAC and </w:t>
            </w:r>
            <w:r w:rsidRPr="00DD2BEA">
              <w:rPr>
                <w:rFonts w:ascii="Arial" w:hAnsi="Arial"/>
                <w:b/>
                <w:bCs/>
                <w:sz w:val="16"/>
                <w:szCs w:val="16"/>
              </w:rPr>
              <w:t>associated Interruption to Supply Process (ITSP). </w:t>
            </w:r>
          </w:p>
        </w:tc>
      </w:tr>
      <w:tr w:rsidR="00DD2BEA" w:rsidRPr="00DD2BEA" w14:paraId="213EA0AE" w14:textId="77777777" w:rsidTr="70E080EC">
        <w:trPr>
          <w:cantSplit/>
          <w:trHeight w:val="880"/>
          <w:tblCellSpacing w:w="28" w:type="dxa"/>
        </w:trPr>
        <w:tc>
          <w:tcPr>
            <w:tcW w:w="1110" w:type="dxa"/>
            <w:vMerge/>
          </w:tcPr>
          <w:p w14:paraId="292E7294" w14:textId="77777777" w:rsidR="00DD2BEA" w:rsidRPr="00DD2BEA" w:rsidRDefault="00DD2BEA" w:rsidP="00DD2BEA">
            <w:pPr>
              <w:jc w:val="center"/>
              <w:rPr>
                <w:rFonts w:ascii="Arial" w:hAnsi="Arial"/>
                <w:b/>
                <w:bCs/>
                <w:color w:val="FFFFFF"/>
                <w:sz w:val="30"/>
                <w:szCs w:val="30"/>
              </w:rPr>
            </w:pPr>
          </w:p>
        </w:tc>
        <w:tc>
          <w:tcPr>
            <w:tcW w:w="593" w:type="dxa"/>
            <w:vMerge/>
            <w:textDirection w:val="btLr"/>
          </w:tcPr>
          <w:p w14:paraId="75EE6D8E"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6EDDFF7"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 xml:space="preserve">Memorandum of Understanding on the Use of Emergency Powers and National Electricity Market Emergency Protocol </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EB5D879"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The Memorandum of Understanding (MOU) and the Protocol were developed by the Jurisdictions, that is, South Australia, Victoria, New South Wales, Queensland, Tasmania, and AEMO, to co-ordinate actions to be taken under individual state legislation to manage power system security emergencies</w:t>
            </w:r>
          </w:p>
        </w:tc>
      </w:tr>
      <w:tr w:rsidR="00DD2BEA" w:rsidRPr="00DD2BEA" w14:paraId="653743F2" w14:textId="77777777" w:rsidTr="70E080EC">
        <w:trPr>
          <w:cantSplit/>
          <w:trHeight w:val="1833"/>
          <w:tblCellSpacing w:w="28" w:type="dxa"/>
        </w:trPr>
        <w:tc>
          <w:tcPr>
            <w:tcW w:w="1110" w:type="dxa"/>
            <w:vMerge/>
          </w:tcPr>
          <w:p w14:paraId="7AA6FD76" w14:textId="77777777" w:rsidR="00DD2BEA" w:rsidRPr="00DD2BEA" w:rsidRDefault="00DD2BEA" w:rsidP="00DD2BEA">
            <w:pPr>
              <w:jc w:val="center"/>
              <w:rPr>
                <w:rFonts w:ascii="Arial" w:hAnsi="Arial"/>
                <w:b/>
                <w:bCs/>
                <w:color w:val="FFFFFF"/>
                <w:sz w:val="30"/>
                <w:szCs w:val="30"/>
              </w:rPr>
            </w:pPr>
          </w:p>
        </w:tc>
        <w:tc>
          <w:tcPr>
            <w:tcW w:w="593" w:type="dxa"/>
            <w:vMerge/>
            <w:textDirection w:val="btLr"/>
          </w:tcPr>
          <w:p w14:paraId="7356984B"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C1D5BF9"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 xml:space="preserve">Power System Emergency Management Plan (PSEMP). </w:t>
            </w:r>
          </w:p>
          <w:p w14:paraId="6D5E3A7E" w14:textId="77777777" w:rsidR="00DD2BEA" w:rsidRPr="00DD2BEA" w:rsidRDefault="00DD2BEA" w:rsidP="00DD2BEA">
            <w:pPr>
              <w:autoSpaceDE w:val="0"/>
              <w:autoSpaceDN w:val="0"/>
              <w:adjustRightInd w:val="0"/>
              <w:spacing w:before="120" w:after="120"/>
              <w:rPr>
                <w:rFonts w:ascii="Arial" w:hAnsi="Arial"/>
                <w:bCs/>
                <w:color w:val="000000"/>
                <w:sz w:val="16"/>
                <w:szCs w:val="16"/>
              </w:rPr>
            </w:pP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2F6E836" w14:textId="77777777" w:rsidR="00DD2BEA" w:rsidRPr="00DD2BEA" w:rsidRDefault="00DD2BEA" w:rsidP="00DD2BEA">
            <w:pPr>
              <w:autoSpaceDE w:val="0"/>
              <w:autoSpaceDN w:val="0"/>
              <w:adjustRightInd w:val="0"/>
              <w:spacing w:before="120" w:after="120"/>
              <w:rPr>
                <w:rFonts w:ascii="Arial" w:hAnsi="Arial"/>
                <w:color w:val="000000"/>
                <w:sz w:val="16"/>
                <w:szCs w:val="16"/>
              </w:rPr>
            </w:pPr>
            <w:r w:rsidRPr="00DD2BEA">
              <w:rPr>
                <w:rFonts w:ascii="Arial" w:hAnsi="Arial"/>
                <w:bCs/>
                <w:color w:val="000000"/>
                <w:sz w:val="16"/>
                <w:szCs w:val="16"/>
              </w:rPr>
              <w:t xml:space="preserve">Developed by AEMO in consultation with NEM state and territory government and industry. The Power System Emergency Management Plan (PSEMP) facilitates a coordinated approach to NEM power system incidents.  The PSEMP is the single point of reference for the electricity industry, government and stakeholders and provides the emergency management arrangements for the power system.  </w:t>
            </w:r>
          </w:p>
        </w:tc>
      </w:tr>
      <w:tr w:rsidR="00DD2BEA" w:rsidRPr="00DD2BEA" w14:paraId="7A20A938" w14:textId="77777777" w:rsidTr="70E080EC">
        <w:trPr>
          <w:cantSplit/>
          <w:trHeight w:val="882"/>
          <w:tblCellSpacing w:w="28" w:type="dxa"/>
        </w:trPr>
        <w:tc>
          <w:tcPr>
            <w:tcW w:w="1110" w:type="dxa"/>
            <w:vMerge/>
          </w:tcPr>
          <w:p w14:paraId="14367D13" w14:textId="77777777" w:rsidR="00DD2BEA" w:rsidRPr="00DD2BEA" w:rsidRDefault="00DD2BEA" w:rsidP="00DD2BEA">
            <w:pPr>
              <w:jc w:val="center"/>
              <w:rPr>
                <w:rFonts w:ascii="Arial" w:hAnsi="Arial"/>
                <w:b/>
                <w:bCs/>
                <w:color w:val="FFFFFF"/>
                <w:sz w:val="30"/>
                <w:szCs w:val="30"/>
              </w:rPr>
            </w:pPr>
          </w:p>
        </w:tc>
        <w:tc>
          <w:tcPr>
            <w:tcW w:w="593" w:type="dxa"/>
            <w:vMerge w:val="restart"/>
            <w:tcBorders>
              <w:top w:val="nil"/>
              <w:left w:val="nil"/>
              <w:bottom w:val="nil"/>
              <w:right w:val="nil"/>
            </w:tcBorders>
            <w:shd w:val="clear" w:color="auto" w:fill="D9D9D9" w:themeFill="background1" w:themeFillShade="D9"/>
            <w:textDirection w:val="btLr"/>
          </w:tcPr>
          <w:p w14:paraId="0968F36F"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Defined roles</w:t>
            </w: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A4F9F46"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Jurisdictional Responsible Officer (RO)</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B9E11E0"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Advises the Victorian government regarding electricity emergency risks and events. Participates in the VEEC and NEMEMF</w:t>
            </w:r>
          </w:p>
        </w:tc>
      </w:tr>
      <w:tr w:rsidR="00DD2BEA" w:rsidRPr="00DD2BEA" w14:paraId="0CEE96A2" w14:textId="77777777" w:rsidTr="70E080EC">
        <w:trPr>
          <w:cantSplit/>
          <w:trHeight w:val="726"/>
          <w:tblCellSpacing w:w="28" w:type="dxa"/>
        </w:trPr>
        <w:tc>
          <w:tcPr>
            <w:tcW w:w="1110" w:type="dxa"/>
            <w:vMerge/>
          </w:tcPr>
          <w:p w14:paraId="5208CA72" w14:textId="77777777" w:rsidR="00DD2BEA" w:rsidRPr="00DD2BEA" w:rsidRDefault="00DD2BEA" w:rsidP="00DD2BEA">
            <w:pPr>
              <w:jc w:val="center"/>
              <w:rPr>
                <w:rFonts w:ascii="Arial" w:hAnsi="Arial"/>
                <w:b/>
                <w:bCs/>
                <w:color w:val="FFFFFF"/>
                <w:sz w:val="30"/>
                <w:szCs w:val="30"/>
              </w:rPr>
            </w:pPr>
          </w:p>
        </w:tc>
        <w:tc>
          <w:tcPr>
            <w:tcW w:w="593" w:type="dxa"/>
            <w:vMerge/>
            <w:textDirection w:val="btLr"/>
          </w:tcPr>
          <w:p w14:paraId="364B500E"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24AFE5C"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Jurisdictional System Security Coordinator (JSSC)</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20CB7A9"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Advises government on the use of electricity emergency powers. Participates in the VEEC and NEMEMF</w:t>
            </w:r>
          </w:p>
        </w:tc>
      </w:tr>
      <w:tr w:rsidR="00DD2BEA" w:rsidRPr="00DD2BEA" w14:paraId="2BA49FD2" w14:textId="77777777" w:rsidTr="70E080EC">
        <w:trPr>
          <w:cantSplit/>
          <w:trHeight w:val="526"/>
          <w:tblCellSpacing w:w="28" w:type="dxa"/>
        </w:trPr>
        <w:tc>
          <w:tcPr>
            <w:tcW w:w="1110" w:type="dxa"/>
            <w:vMerge/>
          </w:tcPr>
          <w:p w14:paraId="38156CDD" w14:textId="77777777" w:rsidR="00DD2BEA" w:rsidRPr="00DD2BEA" w:rsidRDefault="00DD2BEA" w:rsidP="00DD2BEA">
            <w:pPr>
              <w:jc w:val="center"/>
              <w:rPr>
                <w:rFonts w:ascii="Arial" w:hAnsi="Arial"/>
                <w:b/>
                <w:bCs/>
                <w:color w:val="FFFFFF"/>
                <w:sz w:val="30"/>
                <w:szCs w:val="30"/>
              </w:rPr>
            </w:pPr>
          </w:p>
        </w:tc>
        <w:tc>
          <w:tcPr>
            <w:tcW w:w="593" w:type="dxa"/>
            <w:vMerge/>
            <w:textDirection w:val="btLr"/>
          </w:tcPr>
          <w:p w14:paraId="28FE33FA" w14:textId="77777777" w:rsidR="00DD2BEA" w:rsidRPr="00DD2BEA" w:rsidRDefault="00DD2BEA" w:rsidP="00DD2BEA">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3B1CC18E"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Jurisdictional Designated Officer (JDO)</w:t>
            </w:r>
          </w:p>
        </w:tc>
        <w:tc>
          <w:tcPr>
            <w:tcW w:w="4306"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593A4637" w14:textId="77777777" w:rsidR="00DD2BEA" w:rsidRPr="00DD2BEA" w:rsidRDefault="00DD2BEA" w:rsidP="00DD2BEA">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Represents Victoria on the National Electricity Market Emergency Management Forum</w:t>
            </w:r>
          </w:p>
        </w:tc>
      </w:tr>
    </w:tbl>
    <w:p w14:paraId="5DF2D08B" w14:textId="77777777" w:rsidR="00DD2A1D" w:rsidRPr="003907AC" w:rsidRDefault="00DD2A1D" w:rsidP="00DD2A1D">
      <w:pPr>
        <w:rPr>
          <w:rFonts w:eastAsiaTheme="minorEastAsia"/>
        </w:rPr>
      </w:pPr>
    </w:p>
    <w:p w14:paraId="4737575C" w14:textId="77777777" w:rsidR="00DD2A1D" w:rsidRPr="003907AC" w:rsidRDefault="00DD2A1D" w:rsidP="00DD2A1D">
      <w:pPr>
        <w:rPr>
          <w:rFonts w:eastAsiaTheme="minorEastAsia"/>
        </w:rPr>
      </w:pPr>
    </w:p>
    <w:p w14:paraId="311F4FB8" w14:textId="77777777" w:rsidR="00DD2A1D" w:rsidRPr="003907AC" w:rsidRDefault="00DD2A1D" w:rsidP="00DD2A1D">
      <w:pPr>
        <w:rPr>
          <w:rFonts w:eastAsiaTheme="minorEastAsia"/>
        </w:rPr>
      </w:pPr>
    </w:p>
    <w:p w14:paraId="194223E2" w14:textId="77777777" w:rsidR="00DD2A1D" w:rsidRPr="003907AC" w:rsidRDefault="00DD2A1D" w:rsidP="00DD2A1D">
      <w:pPr>
        <w:rPr>
          <w:rFonts w:eastAsiaTheme="minorEastAsia"/>
        </w:rPr>
      </w:pPr>
      <w:r w:rsidRPr="003907AC">
        <w:rPr>
          <w:rFonts w:eastAsiaTheme="minorEastAsia"/>
        </w:rPr>
        <w:br w:type="page"/>
      </w:r>
    </w:p>
    <w:p w14:paraId="19674702" w14:textId="77777777" w:rsidR="00DD2A1D" w:rsidRPr="003907AC" w:rsidRDefault="679868F5" w:rsidP="7EA0B018">
      <w:pPr>
        <w:pStyle w:val="Heading2"/>
        <w:rPr>
          <w:rFonts w:eastAsiaTheme="minorEastAsia"/>
        </w:rPr>
      </w:pPr>
      <w:bookmarkStart w:id="1889" w:name="_Toc90319428"/>
      <w:bookmarkStart w:id="1890" w:name="_Toc1363365113"/>
      <w:bookmarkStart w:id="1891" w:name="_Toc1046257718"/>
      <w:bookmarkStart w:id="1892" w:name="_Toc1194945442"/>
      <w:bookmarkStart w:id="1893" w:name="_Toc1997502376"/>
      <w:bookmarkStart w:id="1894" w:name="_Toc202690044"/>
      <w:bookmarkStart w:id="1895" w:name="_Toc667084190"/>
      <w:bookmarkStart w:id="1896" w:name="_Toc378180873"/>
      <w:bookmarkStart w:id="1897" w:name="_Toc1300762591"/>
      <w:bookmarkStart w:id="1898" w:name="_Toc650783838"/>
      <w:bookmarkStart w:id="1899" w:name="_Toc1198994137"/>
      <w:bookmarkStart w:id="1900" w:name="_Toc1642920230"/>
      <w:bookmarkStart w:id="1901" w:name="_Toc1685066541"/>
      <w:bookmarkStart w:id="1902" w:name="_Toc759701943"/>
      <w:bookmarkStart w:id="1903" w:name="_Toc2085770591"/>
      <w:bookmarkStart w:id="1904" w:name="_Toc64502508"/>
      <w:bookmarkStart w:id="1905" w:name="_Toc526474747"/>
      <w:bookmarkStart w:id="1906" w:name="_Toc886531594"/>
      <w:bookmarkStart w:id="1907" w:name="_Toc1296408227"/>
      <w:bookmarkStart w:id="1908" w:name="_Toc1045789805"/>
      <w:bookmarkStart w:id="1909" w:name="_Toc1938424475"/>
      <w:bookmarkStart w:id="1910" w:name="_Toc1939488106"/>
      <w:bookmarkStart w:id="1911" w:name="_Toc1606371872"/>
      <w:bookmarkStart w:id="1912" w:name="_Toc376759581"/>
      <w:bookmarkStart w:id="1913" w:name="_Toc559237460"/>
      <w:bookmarkStart w:id="1914" w:name="_Toc491260277"/>
      <w:bookmarkStart w:id="1915" w:name="_Toc63433125"/>
      <w:bookmarkStart w:id="1916" w:name="_Toc8212663"/>
      <w:bookmarkStart w:id="1917" w:name="_Toc1297829492"/>
      <w:bookmarkStart w:id="1918" w:name="_Toc2114887407"/>
      <w:bookmarkStart w:id="1919" w:name="_Toc321994037"/>
      <w:bookmarkStart w:id="1920" w:name="_Toc1780680549"/>
      <w:bookmarkStart w:id="1921" w:name="_Toc472417467"/>
      <w:bookmarkStart w:id="1922" w:name="_Toc1513148901"/>
      <w:bookmarkStart w:id="1923" w:name="_Toc1335409029"/>
      <w:bookmarkStart w:id="1924" w:name="_Toc647108276"/>
      <w:bookmarkStart w:id="1925" w:name="_Toc1727438955"/>
      <w:bookmarkStart w:id="1926" w:name="_Toc363998159"/>
      <w:bookmarkStart w:id="1927" w:name="_Toc1329410740"/>
      <w:bookmarkStart w:id="1928" w:name="_Toc848351913"/>
      <w:bookmarkStart w:id="1929" w:name="_Toc1123176905"/>
      <w:bookmarkStart w:id="1930" w:name="_Toc1324807451"/>
      <w:bookmarkStart w:id="1931" w:name="_Toc720384462"/>
      <w:bookmarkStart w:id="1932" w:name="_Toc1208213319"/>
      <w:bookmarkStart w:id="1933" w:name="_Toc18022346"/>
      <w:bookmarkStart w:id="1934" w:name="_Toc802519654"/>
      <w:bookmarkStart w:id="1935" w:name="_Toc94013216"/>
      <w:r w:rsidRPr="7EA0B018">
        <w:rPr>
          <w:rFonts w:eastAsiaTheme="minorEastAsia"/>
        </w:rPr>
        <w:lastRenderedPageBreak/>
        <w:t>Gas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tbl>
      <w:tblPr>
        <w:tblStyle w:val="TableGrid4"/>
        <w:tblW w:w="8643" w:type="dxa"/>
        <w:tblCellSpacing w:w="28" w:type="dxa"/>
        <w:tblLook w:val="04A0" w:firstRow="1" w:lastRow="0" w:firstColumn="1" w:lastColumn="0" w:noHBand="0" w:noVBand="1"/>
      </w:tblPr>
      <w:tblGrid>
        <w:gridCol w:w="1194"/>
        <w:gridCol w:w="649"/>
        <w:gridCol w:w="2410"/>
        <w:gridCol w:w="4390"/>
      </w:tblGrid>
      <w:tr w:rsidR="007F6374" w:rsidRPr="00DD2BEA" w14:paraId="738AE6AC" w14:textId="77777777" w:rsidTr="00A469E3">
        <w:trPr>
          <w:cantSplit/>
          <w:trHeight w:val="847"/>
          <w:tblHeader/>
          <w:tblCellSpacing w:w="28" w:type="dxa"/>
        </w:trPr>
        <w:tc>
          <w:tcPr>
            <w:tcW w:w="1110" w:type="dxa"/>
            <w:tcBorders>
              <w:top w:val="nil"/>
              <w:left w:val="nil"/>
              <w:bottom w:val="nil"/>
              <w:right w:val="nil"/>
            </w:tcBorders>
            <w:textDirection w:val="btLr"/>
          </w:tcPr>
          <w:p w14:paraId="1D5EE13E" w14:textId="77777777" w:rsidR="007F6374" w:rsidRPr="00DD2BEA" w:rsidRDefault="007F6374" w:rsidP="00A469E3">
            <w:pPr>
              <w:jc w:val="center"/>
              <w:rPr>
                <w:rFonts w:ascii="Arial" w:hAnsi="Arial"/>
                <w:b/>
                <w:bCs/>
                <w:color w:val="FFFFFF"/>
                <w:sz w:val="30"/>
                <w:szCs w:val="30"/>
              </w:rPr>
            </w:pPr>
            <w:r>
              <w:rPr>
                <w:noProof/>
              </w:rPr>
              <w:drawing>
                <wp:inline distT="0" distB="0" distL="0" distR="0" wp14:anchorId="2E3FFDFF" wp14:editId="67FFF2BB">
                  <wp:extent cx="533400" cy="533400"/>
                  <wp:effectExtent l="0" t="0" r="0" b="0"/>
                  <wp:docPr id="188481730" name="Picture 18848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593" w:type="dxa"/>
            <w:tcBorders>
              <w:top w:val="nil"/>
              <w:left w:val="nil"/>
              <w:bottom w:val="nil"/>
              <w:right w:val="nil"/>
            </w:tcBorders>
          </w:tcPr>
          <w:p w14:paraId="5BF3C26A" w14:textId="77777777" w:rsidR="007F6374" w:rsidRPr="00DD2BEA" w:rsidRDefault="007F6374" w:rsidP="00A469E3">
            <w:pPr>
              <w:jc w:val="center"/>
              <w:rPr>
                <w:rFonts w:ascii="Arial" w:hAnsi="Arial"/>
                <w:b/>
                <w:bCs/>
                <w:sz w:val="22"/>
                <w:szCs w:val="22"/>
              </w:rPr>
            </w:pPr>
          </w:p>
        </w:tc>
        <w:tc>
          <w:tcPr>
            <w:tcW w:w="2354" w:type="dxa"/>
            <w:tcBorders>
              <w:top w:val="nil"/>
              <w:left w:val="nil"/>
              <w:bottom w:val="nil"/>
              <w:right w:val="nil"/>
            </w:tcBorders>
            <w:shd w:val="clear" w:color="auto" w:fill="E7E6E6"/>
            <w:vAlign w:val="center"/>
          </w:tcPr>
          <w:p w14:paraId="317653DF" w14:textId="77777777" w:rsidR="007F6374" w:rsidRPr="00DD2BEA" w:rsidRDefault="007F6374" w:rsidP="00A469E3">
            <w:pPr>
              <w:ind w:left="113" w:right="113"/>
              <w:jc w:val="center"/>
              <w:rPr>
                <w:rFonts w:ascii="Arial" w:hAnsi="Arial"/>
                <w:b/>
                <w:bCs/>
                <w:sz w:val="22"/>
                <w:szCs w:val="22"/>
              </w:rPr>
            </w:pPr>
            <w:r w:rsidRPr="00DD2BEA">
              <w:rPr>
                <w:rFonts w:ascii="Arial" w:hAnsi="Arial"/>
                <w:b/>
                <w:bCs/>
                <w:sz w:val="22"/>
                <w:szCs w:val="22"/>
              </w:rPr>
              <w:t>Arrangement</w:t>
            </w:r>
          </w:p>
        </w:tc>
        <w:tc>
          <w:tcPr>
            <w:tcW w:w="4306" w:type="dxa"/>
            <w:tcBorders>
              <w:top w:val="nil"/>
              <w:left w:val="nil"/>
              <w:bottom w:val="nil"/>
              <w:right w:val="nil"/>
            </w:tcBorders>
            <w:shd w:val="clear" w:color="auto" w:fill="E7E6E6"/>
            <w:vAlign w:val="center"/>
          </w:tcPr>
          <w:p w14:paraId="237C530D" w14:textId="77777777" w:rsidR="007F6374" w:rsidRPr="00DD2BEA" w:rsidRDefault="007F6374" w:rsidP="00A469E3">
            <w:pPr>
              <w:ind w:left="113" w:right="113"/>
              <w:jc w:val="center"/>
              <w:rPr>
                <w:rFonts w:ascii="Arial" w:hAnsi="Arial"/>
                <w:b/>
                <w:bCs/>
                <w:sz w:val="22"/>
                <w:szCs w:val="22"/>
              </w:rPr>
            </w:pPr>
            <w:r w:rsidRPr="00DD2BEA">
              <w:rPr>
                <w:rFonts w:ascii="Arial" w:hAnsi="Arial"/>
                <w:b/>
                <w:bCs/>
                <w:sz w:val="22"/>
                <w:szCs w:val="22"/>
              </w:rPr>
              <w:t>Description</w:t>
            </w:r>
          </w:p>
        </w:tc>
      </w:tr>
      <w:tr w:rsidR="007F6374" w:rsidRPr="00DD2BEA" w14:paraId="39B38115" w14:textId="77777777" w:rsidTr="00A469E3">
        <w:trPr>
          <w:cantSplit/>
          <w:trHeight w:val="650"/>
          <w:tblCellSpacing w:w="28" w:type="dxa"/>
        </w:trPr>
        <w:tc>
          <w:tcPr>
            <w:tcW w:w="1110" w:type="dxa"/>
            <w:vMerge w:val="restart"/>
            <w:tcBorders>
              <w:top w:val="nil"/>
              <w:left w:val="nil"/>
              <w:bottom w:val="nil"/>
              <w:right w:val="nil"/>
            </w:tcBorders>
            <w:shd w:val="clear" w:color="auto" w:fill="D9D9D9" w:themeFill="background1" w:themeFillShade="D9"/>
            <w:textDirection w:val="btLr"/>
          </w:tcPr>
          <w:p w14:paraId="32C0433B" w14:textId="77777777" w:rsidR="007F6374" w:rsidRPr="00DD2BEA" w:rsidRDefault="007F6374" w:rsidP="00A469E3">
            <w:pPr>
              <w:jc w:val="center"/>
              <w:rPr>
                <w:rFonts w:ascii="Arial" w:hAnsi="Arial"/>
                <w:b/>
                <w:bCs/>
                <w:color w:val="FFFFFF"/>
                <w:sz w:val="30"/>
                <w:szCs w:val="30"/>
              </w:rPr>
            </w:pPr>
            <w:r>
              <w:rPr>
                <w:rFonts w:ascii="Arial" w:hAnsi="Arial"/>
                <w:b/>
                <w:bCs/>
                <w:sz w:val="30"/>
                <w:szCs w:val="30"/>
              </w:rPr>
              <w:t>Gas</w:t>
            </w:r>
          </w:p>
        </w:tc>
        <w:tc>
          <w:tcPr>
            <w:tcW w:w="593" w:type="dxa"/>
            <w:vMerge w:val="restart"/>
            <w:tcBorders>
              <w:top w:val="nil"/>
              <w:left w:val="nil"/>
              <w:bottom w:val="nil"/>
              <w:right w:val="nil"/>
            </w:tcBorders>
            <w:shd w:val="clear" w:color="auto" w:fill="D9D9D9" w:themeFill="background1" w:themeFillShade="D9"/>
            <w:textDirection w:val="btLr"/>
          </w:tcPr>
          <w:p w14:paraId="14DFF3E5" w14:textId="77777777" w:rsidR="007F6374" w:rsidRPr="00DD2BEA" w:rsidRDefault="007F6374" w:rsidP="00A469E3">
            <w:pPr>
              <w:ind w:left="113" w:right="113"/>
              <w:jc w:val="center"/>
              <w:rPr>
                <w:rFonts w:ascii="Arial" w:hAnsi="Arial"/>
                <w:b/>
                <w:bCs/>
                <w:sz w:val="22"/>
                <w:szCs w:val="22"/>
              </w:rPr>
            </w:pPr>
            <w:r w:rsidRPr="00DD2BEA">
              <w:rPr>
                <w:rFonts w:ascii="Arial" w:hAnsi="Arial"/>
                <w:b/>
                <w:bCs/>
                <w:sz w:val="22"/>
                <w:szCs w:val="22"/>
              </w:rPr>
              <w:t>State-level</w:t>
            </w: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E9C5A47" w14:textId="77777777" w:rsidR="007F6374" w:rsidRDefault="007F6374" w:rsidP="00A469E3">
            <w:r w:rsidRPr="7EA0B018">
              <w:rPr>
                <w:rFonts w:ascii="Arial" w:eastAsia="Arial" w:hAnsi="Arial" w:cs="Arial"/>
                <w:color w:val="000000"/>
                <w:sz w:val="16"/>
                <w:szCs w:val="16"/>
              </w:rPr>
              <w:t xml:space="preserve">Gas Emergency Protocol. </w:t>
            </w:r>
          </w:p>
          <w:p w14:paraId="7F403792" w14:textId="77777777" w:rsidR="007F6374" w:rsidRDefault="007F6374" w:rsidP="00A469E3">
            <w:r w:rsidRPr="7EA0B018">
              <w:rPr>
                <w:rFonts w:ascii="Arial" w:eastAsia="Arial" w:hAnsi="Arial" w:cs="Arial"/>
                <w:color w:val="000000"/>
                <w:sz w:val="16"/>
                <w:szCs w:val="16"/>
              </w:rPr>
              <w:t xml:space="preserve"> </w:t>
            </w:r>
          </w:p>
          <w:p w14:paraId="5DA0DDE3" w14:textId="77777777" w:rsidR="007F6374" w:rsidRDefault="007F6374" w:rsidP="00A469E3">
            <w:r w:rsidRPr="7EA0B018">
              <w:rPr>
                <w:rFonts w:ascii="Arial" w:eastAsia="Arial" w:hAnsi="Arial" w:cs="Arial"/>
                <w:color w:val="000000"/>
                <w:sz w:val="16"/>
                <w:szCs w:val="16"/>
              </w:rPr>
              <w:t xml:space="preserve"> </w:t>
            </w:r>
          </w:p>
          <w:p w14:paraId="7F6D456C" w14:textId="77777777" w:rsidR="007F6374" w:rsidRDefault="007F6374" w:rsidP="00A469E3">
            <w:r w:rsidRPr="7EA0B018">
              <w:rPr>
                <w:rFonts w:ascii="Arial" w:eastAsia="Arial" w:hAnsi="Arial" w:cs="Arial"/>
                <w:color w:val="000000"/>
                <w:sz w:val="16"/>
                <w:szCs w:val="16"/>
              </w:rPr>
              <w:t xml:space="preserve"> </w:t>
            </w:r>
          </w:p>
          <w:p w14:paraId="1E0D3905" w14:textId="77777777" w:rsidR="007F6374" w:rsidRDefault="007F6374" w:rsidP="00A469E3">
            <w:r w:rsidRPr="7EA0B018">
              <w:rPr>
                <w:rFonts w:ascii="Arial" w:eastAsia="Arial" w:hAnsi="Arial" w:cs="Arial"/>
                <w:color w:val="000000"/>
                <w:sz w:val="16"/>
                <w:szCs w:val="16"/>
              </w:rPr>
              <w:t xml:space="preserve"> </w:t>
            </w:r>
          </w:p>
          <w:p w14:paraId="7C514729" w14:textId="77777777" w:rsidR="007F6374" w:rsidRDefault="007F6374" w:rsidP="00A469E3">
            <w:r w:rsidRPr="7EA0B018">
              <w:rPr>
                <w:rFonts w:ascii="Arial" w:eastAsia="Arial" w:hAnsi="Arial" w:cs="Arial"/>
                <w:color w:val="000000"/>
                <w:sz w:val="16"/>
                <w:szCs w:val="16"/>
              </w:rPr>
              <w:t xml:space="preserve"> </w:t>
            </w:r>
          </w:p>
          <w:p w14:paraId="5523E1A2" w14:textId="77777777" w:rsidR="007F6374" w:rsidRDefault="007F6374" w:rsidP="00A469E3">
            <w:r w:rsidRPr="7EA0B018">
              <w:rPr>
                <w:rFonts w:ascii="Arial" w:eastAsia="Arial" w:hAnsi="Arial" w:cs="Arial"/>
                <w:color w:val="000000"/>
                <w:sz w:val="16"/>
                <w:szCs w:val="16"/>
              </w:rPr>
              <w:t xml:space="preserve"> </w:t>
            </w:r>
          </w:p>
          <w:p w14:paraId="5C93F9DD" w14:textId="77777777" w:rsidR="007F6374" w:rsidRDefault="007F6374" w:rsidP="00A469E3">
            <w:r w:rsidRPr="7EA0B018">
              <w:rPr>
                <w:rFonts w:ascii="Arial" w:eastAsia="Arial" w:hAnsi="Arial" w:cs="Arial"/>
                <w:color w:val="000000"/>
                <w:sz w:val="16"/>
                <w:szCs w:val="16"/>
              </w:rPr>
              <w:t xml:space="preserve"> </w:t>
            </w:r>
          </w:p>
          <w:p w14:paraId="33E57059" w14:textId="77777777" w:rsidR="007F6374" w:rsidRDefault="007F6374" w:rsidP="00A469E3">
            <w:r w:rsidRPr="7EA0B018">
              <w:rPr>
                <w:rFonts w:ascii="Arial" w:eastAsia="Arial" w:hAnsi="Arial" w:cs="Arial"/>
                <w:color w:val="000000"/>
                <w:sz w:val="16"/>
                <w:szCs w:val="16"/>
              </w:rPr>
              <w:t xml:space="preserve"> </w:t>
            </w:r>
          </w:p>
          <w:p w14:paraId="0413D0BD" w14:textId="77777777" w:rsidR="007F6374" w:rsidRDefault="007F6374" w:rsidP="00A469E3">
            <w:r w:rsidRPr="7EA0B018">
              <w:rPr>
                <w:rFonts w:ascii="Arial" w:eastAsia="Arial" w:hAnsi="Arial" w:cs="Arial"/>
                <w:color w:val="000000"/>
                <w:sz w:val="16"/>
                <w:szCs w:val="16"/>
              </w:rPr>
              <w:t xml:space="preserve"> </w:t>
            </w:r>
          </w:p>
          <w:p w14:paraId="073BA44D" w14:textId="77777777" w:rsidR="007F6374" w:rsidRDefault="007F6374" w:rsidP="00A469E3">
            <w:pPr>
              <w:rPr>
                <w:rFonts w:ascii="Arial" w:eastAsia="Arial" w:hAnsi="Arial" w:cs="Arial"/>
                <w:color w:val="000000"/>
                <w:sz w:val="16"/>
                <w:szCs w:val="16"/>
              </w:rPr>
            </w:pPr>
            <w:r w:rsidRPr="7EA0B018">
              <w:rPr>
                <w:rFonts w:ascii="Arial" w:eastAsia="Arial" w:hAnsi="Arial" w:cs="Arial"/>
                <w:color w:val="000000"/>
                <w:sz w:val="16"/>
                <w:szCs w:val="16"/>
              </w:rPr>
              <w:t xml:space="preserve"> </w:t>
            </w:r>
          </w:p>
          <w:p w14:paraId="161AD5F2" w14:textId="77777777" w:rsidR="007F6374" w:rsidRDefault="007F6374" w:rsidP="00A469E3">
            <w:pPr>
              <w:rPr>
                <w:rFonts w:ascii="Arial" w:eastAsia="Arial" w:hAnsi="Arial" w:cs="Arial"/>
                <w:color w:val="000000"/>
                <w:sz w:val="16"/>
                <w:szCs w:val="16"/>
              </w:rPr>
            </w:pPr>
          </w:p>
          <w:p w14:paraId="1E8E72B1" w14:textId="77777777" w:rsidR="007F6374" w:rsidRDefault="007F6374" w:rsidP="00A469E3"/>
          <w:p w14:paraId="59D2B89B" w14:textId="77777777" w:rsidR="007F6374" w:rsidRDefault="007F6374" w:rsidP="00A469E3">
            <w:r w:rsidRPr="7EA0B018">
              <w:rPr>
                <w:rFonts w:ascii="Arial" w:eastAsia="Arial" w:hAnsi="Arial" w:cs="Arial"/>
                <w:color w:val="000000"/>
                <w:sz w:val="16"/>
                <w:szCs w:val="16"/>
              </w:rPr>
              <w:t>Gas Emergency Management Consultative Forum</w:t>
            </w:r>
          </w:p>
          <w:p w14:paraId="0400F704" w14:textId="77777777" w:rsidR="007F6374" w:rsidRPr="00DD2BEA" w:rsidRDefault="007F6374" w:rsidP="00A469E3">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4110CBA" w14:textId="77777777" w:rsidR="007F6374" w:rsidRDefault="007F6374" w:rsidP="00A469E3">
            <w:r w:rsidRPr="7EA0B018">
              <w:rPr>
                <w:rFonts w:ascii="Arial" w:eastAsia="Arial" w:hAnsi="Arial" w:cs="Arial"/>
                <w:color w:val="000000"/>
                <w:sz w:val="16"/>
                <w:szCs w:val="16"/>
              </w:rPr>
              <w:t xml:space="preserve">Developed by AEMO in consultation with the Victorian Government, the Gas Emergency Protocol consists of the Emergency Procedures Gas, that sets out the response, responsibilities, and communication requirements in the event of a Victorian gas emergency. </w:t>
            </w:r>
          </w:p>
          <w:p w14:paraId="0D21FEDC" w14:textId="77777777" w:rsidR="007F6374" w:rsidRDefault="007F6374" w:rsidP="00A469E3">
            <w:r w:rsidRPr="7EA0B018">
              <w:rPr>
                <w:rFonts w:ascii="Arial" w:eastAsia="Arial" w:hAnsi="Arial" w:cs="Arial"/>
                <w:color w:val="000000"/>
                <w:sz w:val="16"/>
                <w:szCs w:val="16"/>
              </w:rPr>
              <w:t xml:space="preserve">The Protocol also includes the Gas Load Curtailment, Gas Rationing and Recovery Guidelines that provide detail of the priorities, principles, considerations, </w:t>
            </w:r>
            <w:proofErr w:type="gramStart"/>
            <w:r w:rsidRPr="7EA0B018">
              <w:rPr>
                <w:rFonts w:ascii="Arial" w:eastAsia="Arial" w:hAnsi="Arial" w:cs="Arial"/>
                <w:color w:val="000000"/>
                <w:sz w:val="16"/>
                <w:szCs w:val="16"/>
              </w:rPr>
              <w:t>measures</w:t>
            </w:r>
            <w:proofErr w:type="gramEnd"/>
            <w:r w:rsidRPr="7EA0B018">
              <w:rPr>
                <w:rFonts w:ascii="Arial" w:eastAsia="Arial" w:hAnsi="Arial" w:cs="Arial"/>
                <w:color w:val="000000"/>
                <w:sz w:val="16"/>
                <w:szCs w:val="16"/>
              </w:rPr>
              <w:t xml:space="preserve"> and processes that AEMO will apply when curtailment is required, and for the rationing and recovery of gas supplies.</w:t>
            </w:r>
          </w:p>
          <w:p w14:paraId="6C3AF5BE" w14:textId="77777777" w:rsidR="007F6374" w:rsidRDefault="007F6374" w:rsidP="00A469E3">
            <w:r w:rsidRPr="7EA0B018">
              <w:rPr>
                <w:rFonts w:ascii="Arial" w:eastAsia="Arial" w:hAnsi="Arial" w:cs="Arial"/>
                <w:color w:val="000000"/>
                <w:sz w:val="16"/>
                <w:szCs w:val="16"/>
              </w:rPr>
              <w:t>The Gas Emergency Protocol can be convened concurrently with the NGERAC to manage any Victorian specific elements of a gas emergency.</w:t>
            </w:r>
          </w:p>
          <w:p w14:paraId="2CF2603A" w14:textId="77777777" w:rsidR="007F6374" w:rsidRDefault="007F6374" w:rsidP="00A469E3">
            <w:r w:rsidRPr="7EA0B018">
              <w:rPr>
                <w:rFonts w:ascii="Arial" w:eastAsia="Arial" w:hAnsi="Arial" w:cs="Arial"/>
                <w:color w:val="000000"/>
                <w:sz w:val="16"/>
                <w:szCs w:val="16"/>
              </w:rPr>
              <w:t xml:space="preserve"> </w:t>
            </w:r>
          </w:p>
          <w:p w14:paraId="6962619E" w14:textId="77777777" w:rsidR="007F6374" w:rsidRDefault="007F6374" w:rsidP="00A469E3">
            <w:r w:rsidRPr="7EA0B018">
              <w:rPr>
                <w:rFonts w:ascii="Arial" w:eastAsia="Arial" w:hAnsi="Arial" w:cs="Arial"/>
                <w:color w:val="000000"/>
                <w:sz w:val="16"/>
                <w:szCs w:val="16"/>
              </w:rPr>
              <w:t xml:space="preserve"> </w:t>
            </w:r>
          </w:p>
          <w:p w14:paraId="7E47CE59" w14:textId="77777777" w:rsidR="007F6374" w:rsidRDefault="007F6374" w:rsidP="00A469E3">
            <w:r w:rsidRPr="7EA0B018">
              <w:rPr>
                <w:rFonts w:ascii="Arial" w:eastAsia="Arial" w:hAnsi="Arial" w:cs="Arial"/>
                <w:color w:val="000000"/>
                <w:sz w:val="16"/>
                <w:szCs w:val="16"/>
              </w:rPr>
              <w:t xml:space="preserve">The </w:t>
            </w:r>
            <w:r w:rsidRPr="7EA0B018">
              <w:rPr>
                <w:rFonts w:ascii="Arial" w:eastAsia="Arial" w:hAnsi="Arial" w:cs="Arial"/>
                <w:b/>
                <w:bCs/>
                <w:color w:val="000000"/>
                <w:sz w:val="16"/>
                <w:szCs w:val="16"/>
              </w:rPr>
              <w:t>Gas Emergency Management Consultative Forum (GEMCF)</w:t>
            </w:r>
            <w:r w:rsidRPr="7EA0B018">
              <w:rPr>
                <w:rFonts w:ascii="Arial" w:eastAsia="Arial" w:hAnsi="Arial" w:cs="Arial"/>
                <w:color w:val="000000"/>
                <w:sz w:val="16"/>
                <w:szCs w:val="16"/>
              </w:rPr>
              <w:t xml:space="preserve"> is a planning and coordination forum of industry representatives to consider issues relating to the effective management of emergencies related to the Victorian gas system. Jointly Convened by ESV and AEMO. The GEMCF meets twice annually and holds an exercise every year. </w:t>
            </w:r>
          </w:p>
          <w:p w14:paraId="23C43860" w14:textId="77777777" w:rsidR="007F6374" w:rsidRPr="00D81D6B" w:rsidRDefault="007F6374" w:rsidP="00A469E3">
            <w:pPr>
              <w:autoSpaceDE w:val="0"/>
              <w:autoSpaceDN w:val="0"/>
              <w:adjustRightInd w:val="0"/>
              <w:ind w:left="720" w:hanging="360"/>
              <w:rPr>
                <w:rFonts w:eastAsiaTheme="minorEastAsia" w:cstheme="minorBidi"/>
                <w:sz w:val="16"/>
                <w:szCs w:val="16"/>
              </w:rPr>
            </w:pPr>
          </w:p>
        </w:tc>
      </w:tr>
      <w:tr w:rsidR="007F6374" w:rsidRPr="00DD2BEA" w14:paraId="5904DF90" w14:textId="77777777" w:rsidTr="00A469E3">
        <w:trPr>
          <w:cantSplit/>
          <w:trHeight w:val="1441"/>
          <w:tblCellSpacing w:w="28" w:type="dxa"/>
        </w:trPr>
        <w:tc>
          <w:tcPr>
            <w:tcW w:w="1110" w:type="dxa"/>
            <w:vMerge/>
            <w:textDirection w:val="btLr"/>
          </w:tcPr>
          <w:p w14:paraId="366BE409" w14:textId="77777777" w:rsidR="007F6374" w:rsidRPr="00DD2BEA" w:rsidRDefault="007F6374" w:rsidP="00A469E3">
            <w:pPr>
              <w:jc w:val="center"/>
              <w:rPr>
                <w:rFonts w:ascii="Arial" w:hAnsi="Arial"/>
                <w:b/>
                <w:bCs/>
                <w:sz w:val="30"/>
                <w:szCs w:val="30"/>
              </w:rPr>
            </w:pPr>
          </w:p>
        </w:tc>
        <w:tc>
          <w:tcPr>
            <w:tcW w:w="593" w:type="dxa"/>
            <w:vMerge/>
            <w:textDirection w:val="btLr"/>
          </w:tcPr>
          <w:p w14:paraId="64180C34" w14:textId="77777777" w:rsidR="007F6374" w:rsidRPr="00DD2BEA" w:rsidRDefault="007F6374" w:rsidP="00A469E3">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999060E" w14:textId="77777777" w:rsidR="007F6374" w:rsidRDefault="007F6374" w:rsidP="00A469E3">
            <w:r w:rsidRPr="7EA0B018">
              <w:rPr>
                <w:rFonts w:ascii="Arial" w:eastAsia="Arial" w:hAnsi="Arial" w:cs="Arial"/>
                <w:color w:val="000000"/>
                <w:sz w:val="16"/>
                <w:szCs w:val="16"/>
              </w:rPr>
              <w:t>Victorian Gas Emergency Communications Protocol</w:t>
            </w:r>
          </w:p>
          <w:p w14:paraId="4E89EE6C" w14:textId="77777777" w:rsidR="007F6374" w:rsidRPr="00DD2BEA" w:rsidRDefault="007F6374" w:rsidP="00A469E3">
            <w:pPr>
              <w:autoSpaceDE w:val="0"/>
              <w:autoSpaceDN w:val="0"/>
              <w:adjustRightInd w:val="0"/>
              <w:spacing w:before="120" w:after="120"/>
              <w:rPr>
                <w:rFonts w:ascii="Arial" w:hAnsi="Arial"/>
                <w:bCs/>
                <w:color w:val="000000"/>
                <w:sz w:val="16"/>
                <w:szCs w:val="16"/>
              </w:rPr>
            </w:pP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C8C8CF0" w14:textId="77777777" w:rsidR="007F6374" w:rsidRDefault="007F6374" w:rsidP="00A469E3">
            <w:r w:rsidRPr="7EA0B018">
              <w:rPr>
                <w:rFonts w:ascii="Arial" w:eastAsia="Arial" w:hAnsi="Arial" w:cs="Arial"/>
                <w:color w:val="000000"/>
                <w:sz w:val="16"/>
                <w:szCs w:val="16"/>
              </w:rPr>
              <w:t xml:space="preserve">The </w:t>
            </w:r>
            <w:r w:rsidRPr="7EA0B018">
              <w:rPr>
                <w:rFonts w:ascii="Arial" w:eastAsia="Arial" w:hAnsi="Arial" w:cs="Arial"/>
                <w:b/>
                <w:bCs/>
                <w:color w:val="000000"/>
                <w:sz w:val="16"/>
                <w:szCs w:val="16"/>
              </w:rPr>
              <w:t>Victorian Gas Emergency Communications Protocol (2020)</w:t>
            </w:r>
            <w:r w:rsidRPr="7EA0B018">
              <w:rPr>
                <w:rFonts w:ascii="Arial" w:eastAsia="Arial" w:hAnsi="Arial" w:cs="Arial"/>
                <w:color w:val="000000"/>
                <w:sz w:val="16"/>
                <w:szCs w:val="16"/>
              </w:rPr>
              <w:t xml:space="preserve"> has been developed by AEMO, government agencies, industry, and emergency services.  The VGECP outlines the process for information sharing between VEECP members in preparation for and response to gas emergencies impacting the state of Victoria.  </w:t>
            </w:r>
          </w:p>
          <w:p w14:paraId="570795A6" w14:textId="77777777" w:rsidR="007F6374" w:rsidRPr="00DD2BEA" w:rsidRDefault="007F6374" w:rsidP="00A469E3">
            <w:pPr>
              <w:rPr>
                <w:rFonts w:ascii="Arial" w:hAnsi="Arial"/>
                <w:bCs/>
                <w:color w:val="000000"/>
                <w:sz w:val="16"/>
                <w:szCs w:val="16"/>
              </w:rPr>
            </w:pPr>
          </w:p>
        </w:tc>
      </w:tr>
      <w:tr w:rsidR="007F6374" w:rsidRPr="00DD2BEA" w14:paraId="64A626FF" w14:textId="77777777" w:rsidTr="00A469E3">
        <w:trPr>
          <w:cantSplit/>
          <w:trHeight w:val="1441"/>
          <w:tblCellSpacing w:w="28" w:type="dxa"/>
        </w:trPr>
        <w:tc>
          <w:tcPr>
            <w:tcW w:w="1110" w:type="dxa"/>
            <w:vMerge/>
            <w:textDirection w:val="btLr"/>
          </w:tcPr>
          <w:p w14:paraId="2B01847C" w14:textId="77777777" w:rsidR="007F6374" w:rsidRPr="00DD2BEA" w:rsidRDefault="007F6374" w:rsidP="00A469E3">
            <w:pPr>
              <w:jc w:val="center"/>
              <w:rPr>
                <w:rFonts w:ascii="Arial" w:hAnsi="Arial"/>
                <w:b/>
                <w:bCs/>
                <w:sz w:val="30"/>
                <w:szCs w:val="30"/>
              </w:rPr>
            </w:pPr>
          </w:p>
        </w:tc>
        <w:tc>
          <w:tcPr>
            <w:tcW w:w="593" w:type="dxa"/>
            <w:vMerge/>
            <w:textDirection w:val="btLr"/>
          </w:tcPr>
          <w:p w14:paraId="74445579" w14:textId="77777777" w:rsidR="007F6374" w:rsidRPr="00DD2BEA" w:rsidRDefault="007F6374" w:rsidP="00A469E3">
            <w:pPr>
              <w:ind w:left="113" w:right="113"/>
              <w:jc w:val="center"/>
              <w:rPr>
                <w:rFonts w:ascii="Arial" w:hAnsi="Arial"/>
                <w:b/>
                <w:bCs/>
                <w:sz w:val="22"/>
                <w:szCs w:val="22"/>
              </w:rPr>
            </w:pP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C8FE748" w14:textId="77777777" w:rsidR="007F6374" w:rsidRPr="00DD2BEA" w:rsidRDefault="007F6374" w:rsidP="00A469E3">
            <w:pPr>
              <w:autoSpaceDE w:val="0"/>
              <w:autoSpaceDN w:val="0"/>
              <w:adjustRightInd w:val="0"/>
              <w:spacing w:before="120" w:after="120"/>
              <w:rPr>
                <w:rFonts w:ascii="Arial" w:hAnsi="Arial"/>
                <w:bCs/>
                <w:color w:val="000000"/>
                <w:sz w:val="16"/>
                <w:szCs w:val="16"/>
              </w:rPr>
            </w:pPr>
            <w:r w:rsidRPr="7EA0B018">
              <w:rPr>
                <w:rFonts w:ascii="Arial" w:eastAsia="Arial" w:hAnsi="Arial" w:cs="Arial"/>
                <w:color w:val="000000"/>
                <w:sz w:val="16"/>
                <w:szCs w:val="16"/>
              </w:rPr>
              <w:t>Single Industry Spokesperson Protocol for Gas in Victoria (SISP)</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7A8BDC0" w14:textId="77777777" w:rsidR="007F6374" w:rsidRDefault="007F6374" w:rsidP="00A469E3">
            <w:r w:rsidRPr="7EA0B018">
              <w:rPr>
                <w:rFonts w:ascii="Arial" w:eastAsia="Arial" w:hAnsi="Arial" w:cs="Arial"/>
                <w:color w:val="000000"/>
                <w:sz w:val="16"/>
                <w:szCs w:val="16"/>
              </w:rPr>
              <w:t>SISP participants include: AEMO, APA Networks, Multinet, AusNet Services, ESV and DELWP (usually represented by the Communications Specialist).</w:t>
            </w:r>
          </w:p>
          <w:p w14:paraId="5F844DAF" w14:textId="77777777" w:rsidR="007F6374" w:rsidRDefault="007F6374" w:rsidP="00A469E3">
            <w:r w:rsidRPr="7EA0B018">
              <w:rPr>
                <w:rFonts w:ascii="Arial" w:eastAsia="Arial" w:hAnsi="Arial" w:cs="Arial"/>
                <w:color w:val="000000"/>
                <w:sz w:val="16"/>
                <w:szCs w:val="16"/>
              </w:rPr>
              <w:t>The SISP ensures coordinated and timely agreed key messages and give clear advice about the status of a widespread gas emergency.</w:t>
            </w:r>
          </w:p>
          <w:p w14:paraId="71A511BB" w14:textId="77777777" w:rsidR="007F6374" w:rsidRPr="00DD2BEA" w:rsidRDefault="007F6374" w:rsidP="00A469E3">
            <w:pPr>
              <w:rPr>
                <w:rFonts w:ascii="Arial" w:hAnsi="Arial"/>
                <w:bCs/>
                <w:color w:val="000000"/>
                <w:sz w:val="16"/>
                <w:szCs w:val="16"/>
              </w:rPr>
            </w:pPr>
            <w:r w:rsidRPr="7EA0B018">
              <w:rPr>
                <w:rFonts w:ascii="Arial" w:eastAsia="Arial" w:hAnsi="Arial" w:cs="Arial"/>
                <w:color w:val="000000"/>
                <w:sz w:val="16"/>
                <w:szCs w:val="16"/>
              </w:rPr>
              <w:t>Contains relevant trigger, procedures, policies, roles, responsibilities, contact details and draft media materials.</w:t>
            </w:r>
          </w:p>
        </w:tc>
      </w:tr>
      <w:tr w:rsidR="007F6374" w:rsidRPr="00DD2BEA" w14:paraId="640E208C" w14:textId="77777777" w:rsidTr="00A469E3">
        <w:trPr>
          <w:cantSplit/>
          <w:trHeight w:val="1172"/>
          <w:tblCellSpacing w:w="28" w:type="dxa"/>
        </w:trPr>
        <w:tc>
          <w:tcPr>
            <w:tcW w:w="1110" w:type="dxa"/>
            <w:vMerge/>
          </w:tcPr>
          <w:p w14:paraId="5532EC69" w14:textId="77777777" w:rsidR="007F6374" w:rsidRPr="00DD2BEA" w:rsidRDefault="007F6374" w:rsidP="00A469E3">
            <w:pPr>
              <w:jc w:val="center"/>
              <w:rPr>
                <w:rFonts w:ascii="Arial" w:hAnsi="Arial"/>
                <w:b/>
                <w:bCs/>
                <w:color w:val="FFFFFF"/>
                <w:sz w:val="30"/>
                <w:szCs w:val="30"/>
              </w:rPr>
            </w:pPr>
          </w:p>
        </w:tc>
        <w:tc>
          <w:tcPr>
            <w:tcW w:w="593" w:type="dxa"/>
            <w:tcBorders>
              <w:top w:val="nil"/>
              <w:left w:val="nil"/>
              <w:bottom w:val="nil"/>
              <w:right w:val="nil"/>
            </w:tcBorders>
            <w:shd w:val="clear" w:color="auto" w:fill="D9D9D9" w:themeFill="background1" w:themeFillShade="D9"/>
            <w:textDirection w:val="btLr"/>
          </w:tcPr>
          <w:p w14:paraId="1DA467F1" w14:textId="77777777" w:rsidR="007F6374" w:rsidRPr="00DD2BEA" w:rsidRDefault="007F6374" w:rsidP="00A469E3">
            <w:pPr>
              <w:ind w:left="113" w:right="113"/>
              <w:jc w:val="center"/>
              <w:rPr>
                <w:rFonts w:ascii="Arial" w:hAnsi="Arial"/>
                <w:b/>
                <w:bCs/>
                <w:sz w:val="30"/>
                <w:szCs w:val="30"/>
              </w:rPr>
            </w:pPr>
            <w:r w:rsidRPr="00DD2BEA">
              <w:rPr>
                <w:rFonts w:ascii="Arial" w:hAnsi="Arial"/>
                <w:b/>
                <w:bCs/>
                <w:sz w:val="22"/>
                <w:szCs w:val="22"/>
              </w:rPr>
              <w:t>Multi-jurisdictional</w:t>
            </w:r>
          </w:p>
        </w:tc>
        <w:tc>
          <w:tcPr>
            <w:tcW w:w="2354"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47343C53" w14:textId="77777777" w:rsidR="007F6374" w:rsidRPr="00EA5318" w:rsidRDefault="007F6374" w:rsidP="00A469E3">
            <w:pPr>
              <w:rPr>
                <w:color w:val="363534" w:themeColor="text1"/>
              </w:rPr>
            </w:pPr>
            <w:r w:rsidRPr="7EA0B018">
              <w:rPr>
                <w:rFonts w:ascii="Arial" w:eastAsia="Arial" w:hAnsi="Arial" w:cs="Arial"/>
                <w:color w:val="000000"/>
                <w:sz w:val="16"/>
                <w:szCs w:val="16"/>
              </w:rPr>
              <w:t>National Gas Emergency Response Advisory Committee</w:t>
            </w:r>
          </w:p>
        </w:tc>
        <w:tc>
          <w:tcPr>
            <w:tcW w:w="4306"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39FB29B3" w14:textId="77777777" w:rsidR="007F6374" w:rsidRDefault="007F6374" w:rsidP="00A469E3">
            <w:r w:rsidRPr="7EA0B018">
              <w:rPr>
                <w:rFonts w:ascii="Arial" w:eastAsia="Arial" w:hAnsi="Arial" w:cs="Arial"/>
                <w:color w:val="000000"/>
                <w:sz w:val="16"/>
                <w:szCs w:val="16"/>
              </w:rPr>
              <w:t xml:space="preserve">The </w:t>
            </w:r>
            <w:r w:rsidRPr="7EA0B018">
              <w:rPr>
                <w:rFonts w:ascii="Arial" w:eastAsia="Arial" w:hAnsi="Arial" w:cs="Arial"/>
                <w:b/>
                <w:bCs/>
                <w:color w:val="000000"/>
                <w:sz w:val="16"/>
                <w:szCs w:val="16"/>
              </w:rPr>
              <w:t>National Gas Emergency Response Advisory Committee (NGERAC)</w:t>
            </w:r>
            <w:r w:rsidRPr="7EA0B018">
              <w:rPr>
                <w:rFonts w:ascii="Arial" w:eastAsia="Arial" w:hAnsi="Arial" w:cs="Arial"/>
                <w:color w:val="000000"/>
                <w:sz w:val="16"/>
                <w:szCs w:val="16"/>
              </w:rPr>
              <w:t xml:space="preserve"> is a planning and coordinating forum made up of industry, federal and state government representatives. NGERAC facilitates efficient and effective communication across industry and government during major natural gas supply shortages with the intent of minimising significant consequences for the community. The NGERAC meets twice a year.</w:t>
            </w:r>
          </w:p>
          <w:p w14:paraId="737B80EE" w14:textId="77777777" w:rsidR="007F6374" w:rsidRPr="00DD2BEA" w:rsidRDefault="007F6374" w:rsidP="00A469E3">
            <w:pPr>
              <w:rPr>
                <w:rFonts w:ascii="Arial" w:hAnsi="Arial"/>
                <w:sz w:val="16"/>
                <w:szCs w:val="16"/>
              </w:rPr>
            </w:pPr>
            <w:r w:rsidRPr="7EA0B018">
              <w:rPr>
                <w:rFonts w:ascii="Arial" w:eastAsia="Arial" w:hAnsi="Arial" w:cs="Arial"/>
                <w:color w:val="000000"/>
                <w:sz w:val="16"/>
                <w:szCs w:val="16"/>
              </w:rPr>
              <w:t xml:space="preserve">For a dual energy multi-jurisdictional event impacting both electricity and gas supply, the NEMEMF may coordinate with the NGERAC and </w:t>
            </w:r>
            <w:r w:rsidRPr="7EA0B018">
              <w:rPr>
                <w:rFonts w:ascii="Arial" w:eastAsia="Arial" w:hAnsi="Arial" w:cs="Arial"/>
                <w:b/>
                <w:bCs/>
                <w:color w:val="000000"/>
                <w:sz w:val="16"/>
                <w:szCs w:val="16"/>
              </w:rPr>
              <w:t>associated Interruption to Supply Process (ITGSP).</w:t>
            </w:r>
          </w:p>
        </w:tc>
      </w:tr>
      <w:tr w:rsidR="007F6374" w:rsidRPr="00DD2BEA" w14:paraId="616D0404" w14:textId="77777777" w:rsidTr="00A469E3">
        <w:trPr>
          <w:cantSplit/>
          <w:trHeight w:val="2265"/>
          <w:tblCellSpacing w:w="28" w:type="dxa"/>
        </w:trPr>
        <w:tc>
          <w:tcPr>
            <w:tcW w:w="1110" w:type="dxa"/>
            <w:vMerge/>
          </w:tcPr>
          <w:p w14:paraId="0D037EE4" w14:textId="77777777" w:rsidR="007F6374" w:rsidRPr="00DD2BEA" w:rsidRDefault="007F6374" w:rsidP="00A469E3">
            <w:pPr>
              <w:jc w:val="center"/>
              <w:rPr>
                <w:rFonts w:ascii="Arial" w:hAnsi="Arial"/>
                <w:b/>
                <w:bCs/>
                <w:color w:val="FFFFFF"/>
                <w:sz w:val="30"/>
                <w:szCs w:val="30"/>
              </w:rPr>
            </w:pPr>
          </w:p>
        </w:tc>
        <w:tc>
          <w:tcPr>
            <w:tcW w:w="593" w:type="dxa"/>
            <w:tcBorders>
              <w:top w:val="nil"/>
              <w:left w:val="nil"/>
              <w:bottom w:val="nil"/>
              <w:right w:val="nil"/>
            </w:tcBorders>
            <w:shd w:val="clear" w:color="auto" w:fill="D9D9D9" w:themeFill="background1" w:themeFillShade="D9"/>
            <w:textDirection w:val="btLr"/>
          </w:tcPr>
          <w:p w14:paraId="5A27B71C" w14:textId="77777777" w:rsidR="007F6374" w:rsidRPr="00DD2BEA" w:rsidRDefault="007F6374" w:rsidP="00A469E3">
            <w:pPr>
              <w:ind w:left="113" w:right="113"/>
              <w:jc w:val="center"/>
              <w:rPr>
                <w:rFonts w:ascii="Arial" w:hAnsi="Arial"/>
                <w:b/>
                <w:bCs/>
                <w:sz w:val="22"/>
                <w:szCs w:val="22"/>
              </w:rPr>
            </w:pPr>
            <w:r w:rsidRPr="00DD2BEA">
              <w:rPr>
                <w:rFonts w:ascii="Arial" w:hAnsi="Arial"/>
                <w:b/>
                <w:bCs/>
                <w:sz w:val="22"/>
                <w:szCs w:val="22"/>
              </w:rPr>
              <w:t>Defined roles</w:t>
            </w:r>
          </w:p>
        </w:tc>
        <w:tc>
          <w:tcPr>
            <w:tcW w:w="23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0A8958C" w14:textId="77777777" w:rsidR="007F6374" w:rsidRPr="00DD2BEA" w:rsidRDefault="007F6374" w:rsidP="00A469E3">
            <w:pPr>
              <w:autoSpaceDE w:val="0"/>
              <w:autoSpaceDN w:val="0"/>
              <w:adjustRightInd w:val="0"/>
              <w:spacing w:before="120" w:after="120"/>
              <w:rPr>
                <w:rFonts w:ascii="Arial" w:hAnsi="Arial"/>
                <w:bCs/>
                <w:color w:val="000000"/>
                <w:sz w:val="16"/>
                <w:szCs w:val="16"/>
              </w:rPr>
            </w:pPr>
            <w:r w:rsidRPr="00DD2BEA">
              <w:rPr>
                <w:rFonts w:ascii="Arial" w:hAnsi="Arial"/>
                <w:bCs/>
                <w:color w:val="000000"/>
                <w:sz w:val="16"/>
                <w:szCs w:val="16"/>
              </w:rPr>
              <w:t>Jurisdictional Responsible Officer (RO)</w:t>
            </w:r>
          </w:p>
        </w:tc>
        <w:tc>
          <w:tcPr>
            <w:tcW w:w="43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E7DF6AD" w14:textId="77777777" w:rsidR="007F6374" w:rsidRPr="00DD2BEA" w:rsidRDefault="007F6374" w:rsidP="00A469E3">
            <w:pPr>
              <w:autoSpaceDE w:val="0"/>
              <w:autoSpaceDN w:val="0"/>
              <w:adjustRightInd w:val="0"/>
              <w:spacing w:before="120" w:after="120"/>
              <w:rPr>
                <w:rFonts w:ascii="Arial" w:hAnsi="Arial"/>
                <w:bCs/>
                <w:color w:val="000000"/>
                <w:sz w:val="16"/>
                <w:szCs w:val="16"/>
              </w:rPr>
            </w:pPr>
            <w:r w:rsidRPr="7EA0B018">
              <w:rPr>
                <w:rFonts w:ascii="Arial" w:eastAsia="Arial" w:hAnsi="Arial" w:cs="Arial"/>
                <w:color w:val="000000"/>
                <w:sz w:val="16"/>
                <w:szCs w:val="16"/>
              </w:rPr>
              <w:t>Represents Victoria on the National Gas Emergency Response Advisory Committee.</w:t>
            </w:r>
          </w:p>
        </w:tc>
      </w:tr>
    </w:tbl>
    <w:p w14:paraId="58907C83" w14:textId="4DF86555" w:rsidR="7EA0B018" w:rsidRDefault="7EA0B018"/>
    <w:p w14:paraId="0BB511D1" w14:textId="77777777" w:rsidR="00DD2A1D" w:rsidRPr="003907AC" w:rsidRDefault="00DD2A1D" w:rsidP="00DD2A1D">
      <w:pPr>
        <w:rPr>
          <w:rFonts w:eastAsiaTheme="minorEastAsia"/>
        </w:rPr>
      </w:pPr>
    </w:p>
    <w:p w14:paraId="3C7928A9" w14:textId="77777777" w:rsidR="00DD2A1D" w:rsidRPr="003907AC" w:rsidRDefault="00DD2A1D" w:rsidP="00DD2A1D">
      <w:pPr>
        <w:rPr>
          <w:rFonts w:eastAsiaTheme="minorEastAsia"/>
        </w:rPr>
      </w:pPr>
      <w:r w:rsidRPr="003907AC">
        <w:rPr>
          <w:rFonts w:eastAsiaTheme="minorEastAsia"/>
        </w:rPr>
        <w:br w:type="page"/>
      </w:r>
    </w:p>
    <w:p w14:paraId="0F19BBE8" w14:textId="77777777" w:rsidR="00DD2A1D" w:rsidRPr="003907AC" w:rsidRDefault="00DD2A1D" w:rsidP="00DD2A1D">
      <w:pPr>
        <w:pStyle w:val="Heading2"/>
        <w:rPr>
          <w:rFonts w:eastAsiaTheme="minorEastAsia"/>
        </w:rPr>
      </w:pPr>
      <w:bookmarkStart w:id="1936" w:name="_Toc90319429"/>
      <w:bookmarkStart w:id="1937" w:name="_Toc1193499694"/>
      <w:bookmarkStart w:id="1938" w:name="_Toc681036052"/>
      <w:bookmarkStart w:id="1939" w:name="_Toc2065026095"/>
      <w:bookmarkStart w:id="1940" w:name="_Toc575577140"/>
      <w:bookmarkStart w:id="1941" w:name="_Toc2057206386"/>
      <w:bookmarkStart w:id="1942" w:name="_Toc1220518949"/>
      <w:bookmarkStart w:id="1943" w:name="_Toc1735572514"/>
      <w:bookmarkStart w:id="1944" w:name="_Toc307783748"/>
      <w:bookmarkStart w:id="1945" w:name="_Toc506548219"/>
      <w:bookmarkStart w:id="1946" w:name="_Toc341547645"/>
      <w:bookmarkStart w:id="1947" w:name="_Toc1029514127"/>
      <w:bookmarkStart w:id="1948" w:name="_Toc817549465"/>
      <w:bookmarkStart w:id="1949" w:name="_Toc1273182851"/>
      <w:bookmarkStart w:id="1950" w:name="_Toc432777991"/>
      <w:bookmarkStart w:id="1951" w:name="_Toc443958351"/>
      <w:bookmarkStart w:id="1952" w:name="_Toc978099285"/>
      <w:bookmarkStart w:id="1953" w:name="_Toc1229248032"/>
      <w:bookmarkStart w:id="1954" w:name="_Toc999653924"/>
      <w:bookmarkStart w:id="1955" w:name="_Toc610055981"/>
      <w:bookmarkStart w:id="1956" w:name="_Toc1577489949"/>
      <w:bookmarkStart w:id="1957" w:name="_Toc1200199093"/>
      <w:bookmarkStart w:id="1958" w:name="_Toc190089343"/>
      <w:bookmarkStart w:id="1959" w:name="_Toc1920058820"/>
      <w:bookmarkStart w:id="1960" w:name="_Toc5749939"/>
      <w:bookmarkStart w:id="1961" w:name="_Toc1768195594"/>
      <w:bookmarkStart w:id="1962" w:name="_Toc1109152882"/>
      <w:bookmarkStart w:id="1963" w:name="_Toc1614135330"/>
      <w:bookmarkStart w:id="1964" w:name="_Toc1041896134"/>
      <w:bookmarkStart w:id="1965" w:name="_Toc1003587013"/>
      <w:bookmarkStart w:id="1966" w:name="_Toc731561321"/>
      <w:bookmarkStart w:id="1967" w:name="_Toc1567775761"/>
      <w:bookmarkStart w:id="1968" w:name="_Toc825632224"/>
      <w:bookmarkStart w:id="1969" w:name="_Toc1484906590"/>
      <w:bookmarkStart w:id="1970" w:name="_Toc1593078313"/>
      <w:bookmarkStart w:id="1971" w:name="_Toc1262056278"/>
      <w:bookmarkStart w:id="1972" w:name="_Toc1324345563"/>
      <w:bookmarkStart w:id="1973" w:name="_Toc2094333349"/>
      <w:bookmarkStart w:id="1974" w:name="_Toc2041884077"/>
      <w:bookmarkStart w:id="1975" w:name="_Toc1280250408"/>
      <w:bookmarkStart w:id="1976" w:name="_Toc1607511728"/>
      <w:bookmarkStart w:id="1977" w:name="_Toc1189746942"/>
      <w:bookmarkStart w:id="1978" w:name="_Toc343956127"/>
      <w:bookmarkStart w:id="1979" w:name="_Toc678441186"/>
      <w:bookmarkStart w:id="1980" w:name="_Toc1867886762"/>
      <w:bookmarkStart w:id="1981" w:name="_Toc956833665"/>
      <w:bookmarkStart w:id="1982" w:name="_Toc94013217"/>
      <w:r w:rsidRPr="367F2C92">
        <w:rPr>
          <w:rFonts w:eastAsiaTheme="minorEastAsia"/>
        </w:rPr>
        <w:lastRenderedPageBreak/>
        <w:t>Liquid fuels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6A227447" w14:textId="77777777" w:rsidR="00DD2A1D" w:rsidRPr="003907AC" w:rsidRDefault="00DD2A1D" w:rsidP="00DD2A1D">
      <w:pPr>
        <w:rPr>
          <w:rFonts w:eastAsiaTheme="minorEastAsia"/>
        </w:rPr>
      </w:pPr>
    </w:p>
    <w:tbl>
      <w:tblPr>
        <w:tblStyle w:val="TableGrid6"/>
        <w:tblW w:w="8641" w:type="dxa"/>
        <w:tblCellSpacing w:w="28" w:type="dxa"/>
        <w:tblLook w:val="04A0" w:firstRow="1" w:lastRow="0" w:firstColumn="1" w:lastColumn="0" w:noHBand="0" w:noVBand="1"/>
      </w:tblPr>
      <w:tblGrid>
        <w:gridCol w:w="1357"/>
        <w:gridCol w:w="628"/>
        <w:gridCol w:w="2830"/>
        <w:gridCol w:w="3826"/>
      </w:tblGrid>
      <w:tr w:rsidR="00DD2BEA" w:rsidRPr="00DD2BEA" w14:paraId="694C6A62" w14:textId="77777777" w:rsidTr="70E080EC">
        <w:trPr>
          <w:cantSplit/>
          <w:trHeight w:val="834"/>
          <w:tblHeader/>
          <w:tblCellSpacing w:w="28" w:type="dxa"/>
        </w:trPr>
        <w:tc>
          <w:tcPr>
            <w:tcW w:w="1273" w:type="dxa"/>
            <w:tcBorders>
              <w:top w:val="nil"/>
              <w:left w:val="nil"/>
              <w:bottom w:val="nil"/>
              <w:right w:val="nil"/>
            </w:tcBorders>
            <w:textDirection w:val="btLr"/>
          </w:tcPr>
          <w:p w14:paraId="2336F3E4" w14:textId="77777777" w:rsidR="00DD2BEA" w:rsidRPr="00DD2BEA" w:rsidRDefault="00DD2BEA" w:rsidP="00DD2BEA">
            <w:pPr>
              <w:jc w:val="center"/>
              <w:rPr>
                <w:rFonts w:ascii="Arial" w:hAnsi="Arial"/>
                <w:b/>
                <w:bCs/>
                <w:color w:val="FFFFFF"/>
                <w:sz w:val="30"/>
                <w:szCs w:val="30"/>
              </w:rPr>
            </w:pPr>
            <w:r w:rsidRPr="00DD2BEA">
              <w:rPr>
                <w:rFonts w:ascii="Arial" w:hAnsi="Arial"/>
                <w:b/>
                <w:bCs/>
                <w:noProof/>
                <w:color w:val="FFFFFF"/>
                <w:sz w:val="30"/>
                <w:szCs w:val="30"/>
              </w:rPr>
              <w:drawing>
                <wp:inline distT="0" distB="0" distL="0" distR="0" wp14:anchorId="511B471B" wp14:editId="1E83B239">
                  <wp:extent cx="491319" cy="491319"/>
                  <wp:effectExtent l="0" t="0" r="0" b="0"/>
                  <wp:docPr id="123" name="Graphic 123" descr="Fu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Fuel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97119" cy="497119"/>
                          </a:xfrm>
                          <a:prstGeom prst="rect">
                            <a:avLst/>
                          </a:prstGeom>
                        </pic:spPr>
                      </pic:pic>
                    </a:graphicData>
                  </a:graphic>
                </wp:inline>
              </w:drawing>
            </w:r>
          </w:p>
        </w:tc>
        <w:tc>
          <w:tcPr>
            <w:tcW w:w="572" w:type="dxa"/>
            <w:tcBorders>
              <w:top w:val="nil"/>
              <w:left w:val="nil"/>
              <w:bottom w:val="nil"/>
              <w:right w:val="nil"/>
            </w:tcBorders>
          </w:tcPr>
          <w:p w14:paraId="0E373890" w14:textId="77777777" w:rsidR="00DD2BEA" w:rsidRPr="00DD2BEA" w:rsidRDefault="00DD2BEA" w:rsidP="00DD2BEA">
            <w:pPr>
              <w:jc w:val="center"/>
              <w:rPr>
                <w:rFonts w:ascii="Arial" w:hAnsi="Arial"/>
                <w:b/>
                <w:bCs/>
                <w:sz w:val="22"/>
                <w:szCs w:val="22"/>
              </w:rPr>
            </w:pPr>
          </w:p>
        </w:tc>
        <w:tc>
          <w:tcPr>
            <w:tcW w:w="2774" w:type="dxa"/>
            <w:tcBorders>
              <w:top w:val="nil"/>
              <w:left w:val="nil"/>
              <w:bottom w:val="nil"/>
              <w:right w:val="nil"/>
            </w:tcBorders>
            <w:shd w:val="clear" w:color="auto" w:fill="E7E6E6"/>
            <w:vAlign w:val="center"/>
          </w:tcPr>
          <w:p w14:paraId="7781B1C5"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Arrangement</w:t>
            </w:r>
          </w:p>
        </w:tc>
        <w:tc>
          <w:tcPr>
            <w:tcW w:w="3742" w:type="dxa"/>
            <w:tcBorders>
              <w:top w:val="nil"/>
              <w:left w:val="nil"/>
              <w:bottom w:val="nil"/>
              <w:right w:val="nil"/>
            </w:tcBorders>
            <w:shd w:val="clear" w:color="auto" w:fill="E7E6E6"/>
            <w:vAlign w:val="center"/>
          </w:tcPr>
          <w:p w14:paraId="458DBB04" w14:textId="77777777" w:rsidR="00DD2BEA" w:rsidRPr="00DD2BEA" w:rsidRDefault="00DD2BEA" w:rsidP="00DD2BEA">
            <w:pPr>
              <w:ind w:left="113" w:right="113"/>
              <w:jc w:val="center"/>
              <w:rPr>
                <w:rFonts w:ascii="Arial" w:hAnsi="Arial"/>
                <w:b/>
                <w:bCs/>
                <w:sz w:val="22"/>
                <w:szCs w:val="22"/>
              </w:rPr>
            </w:pPr>
            <w:r w:rsidRPr="00DD2BEA">
              <w:rPr>
                <w:rFonts w:ascii="Arial" w:hAnsi="Arial"/>
                <w:b/>
                <w:bCs/>
                <w:sz w:val="22"/>
                <w:szCs w:val="22"/>
              </w:rPr>
              <w:t>Description</w:t>
            </w:r>
          </w:p>
        </w:tc>
      </w:tr>
      <w:tr w:rsidR="00DD2BEA" w:rsidRPr="00DD2BEA" w14:paraId="25941FF6" w14:textId="77777777" w:rsidTr="70E080EC">
        <w:trPr>
          <w:cantSplit/>
          <w:trHeight w:val="2217"/>
          <w:tblCellSpacing w:w="28" w:type="dxa"/>
        </w:trPr>
        <w:tc>
          <w:tcPr>
            <w:tcW w:w="1273" w:type="dxa"/>
            <w:vMerge w:val="restart"/>
            <w:tcBorders>
              <w:top w:val="single" w:sz="4" w:space="0" w:color="auto"/>
              <w:left w:val="nil"/>
              <w:bottom w:val="single" w:sz="4" w:space="0" w:color="auto"/>
              <w:right w:val="single" w:sz="4" w:space="0" w:color="auto"/>
            </w:tcBorders>
            <w:shd w:val="clear" w:color="auto" w:fill="D9D9D9" w:themeFill="background1" w:themeFillShade="D9"/>
            <w:textDirection w:val="btLr"/>
          </w:tcPr>
          <w:p w14:paraId="339A1AF4" w14:textId="77777777" w:rsidR="00DD2BEA" w:rsidRPr="00DD2BEA" w:rsidRDefault="00DD2BEA" w:rsidP="00DD2BEA">
            <w:pPr>
              <w:jc w:val="center"/>
              <w:rPr>
                <w:rFonts w:ascii="Arial" w:hAnsi="Arial"/>
                <w:b/>
                <w:color w:val="FFFFFF"/>
                <w:sz w:val="28"/>
                <w:szCs w:val="28"/>
              </w:rPr>
            </w:pPr>
            <w:r w:rsidRPr="00DD2BEA">
              <w:rPr>
                <w:rFonts w:ascii="Arial" w:hAnsi="Arial"/>
                <w:b/>
                <w:sz w:val="28"/>
                <w:szCs w:val="28"/>
              </w:rPr>
              <w:t>Liquid fuels</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3A08C4F4" w14:textId="77777777" w:rsidR="00DD2BEA" w:rsidRPr="00DD2BEA" w:rsidRDefault="00DD2BEA" w:rsidP="00DD2BEA">
            <w:pPr>
              <w:jc w:val="center"/>
              <w:rPr>
                <w:rFonts w:ascii="Arial" w:hAnsi="Arial"/>
                <w:b/>
                <w:bCs/>
                <w:sz w:val="22"/>
                <w:szCs w:val="22"/>
              </w:rPr>
            </w:pPr>
            <w:r w:rsidRPr="00DD2BEA">
              <w:rPr>
                <w:rFonts w:ascii="Arial" w:hAnsi="Arial"/>
                <w:b/>
                <w:bCs/>
                <w:sz w:val="22"/>
                <w:szCs w:val="22"/>
              </w:rPr>
              <w:t>State-level</w:t>
            </w:r>
          </w:p>
        </w:tc>
        <w:tc>
          <w:tcPr>
            <w:tcW w:w="277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D7894F6" w14:textId="77777777" w:rsidR="00DD2BEA" w:rsidRPr="00DD2BEA" w:rsidRDefault="00DD2BEA" w:rsidP="00DD2BEA">
            <w:pPr>
              <w:autoSpaceDE w:val="0"/>
              <w:autoSpaceDN w:val="0"/>
              <w:adjustRightInd w:val="0"/>
              <w:spacing w:after="120"/>
              <w:rPr>
                <w:rFonts w:ascii="Arial" w:hAnsi="Arial"/>
                <w:sz w:val="16"/>
                <w:szCs w:val="16"/>
                <w:u w:val="single"/>
              </w:rPr>
            </w:pPr>
            <w:r w:rsidRPr="00DD2BEA">
              <w:rPr>
                <w:rFonts w:ascii="Arial" w:hAnsi="Arial"/>
                <w:sz w:val="16"/>
                <w:szCs w:val="16"/>
              </w:rPr>
              <w:t xml:space="preserve">Liquid Fuel </w:t>
            </w:r>
            <w:r w:rsidRPr="00DD2BEA">
              <w:rPr>
                <w:rFonts w:ascii="Arial" w:hAnsi="Arial"/>
                <w:color w:val="000000"/>
                <w:sz w:val="16"/>
                <w:szCs w:val="16"/>
              </w:rPr>
              <w:t>Working</w:t>
            </w:r>
            <w:r w:rsidRPr="00DD2BEA">
              <w:rPr>
                <w:rFonts w:ascii="Arial" w:hAnsi="Arial"/>
                <w:sz w:val="16"/>
                <w:szCs w:val="16"/>
              </w:rPr>
              <w:t xml:space="preserve"> Group (LFWG)</w:t>
            </w:r>
          </w:p>
          <w:p w14:paraId="15F796C8" w14:textId="77777777" w:rsidR="00DD2BEA" w:rsidRPr="00DD2BEA" w:rsidRDefault="00DD2BEA" w:rsidP="00DD2BEA">
            <w:pPr>
              <w:spacing w:after="120"/>
              <w:rPr>
                <w:rFonts w:ascii="Arial" w:hAnsi="Arial"/>
                <w:sz w:val="16"/>
                <w:szCs w:val="16"/>
              </w:rPr>
            </w:pP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6604268" w14:textId="77777777" w:rsidR="00DD2BEA" w:rsidRPr="00DD2BEA" w:rsidRDefault="00DD2BEA" w:rsidP="00DD2BEA">
            <w:pPr>
              <w:autoSpaceDE w:val="0"/>
              <w:autoSpaceDN w:val="0"/>
              <w:adjustRightInd w:val="0"/>
              <w:spacing w:after="120"/>
              <w:jc w:val="both"/>
              <w:rPr>
                <w:rFonts w:ascii="Arial" w:hAnsi="Arial"/>
                <w:color w:val="000000"/>
                <w:sz w:val="16"/>
                <w:szCs w:val="16"/>
              </w:rPr>
            </w:pPr>
            <w:r w:rsidRPr="00DD2BEA">
              <w:rPr>
                <w:rFonts w:ascii="Arial" w:hAnsi="Arial"/>
                <w:color w:val="000000"/>
                <w:sz w:val="16"/>
                <w:szCs w:val="16"/>
              </w:rPr>
              <w:t xml:space="preserve">The </w:t>
            </w:r>
            <w:r w:rsidRPr="00DD2BEA">
              <w:rPr>
                <w:rFonts w:ascii="Arial" w:hAnsi="Arial"/>
                <w:b/>
                <w:bCs/>
                <w:color w:val="000000"/>
                <w:sz w:val="16"/>
                <w:szCs w:val="16"/>
              </w:rPr>
              <w:t>Victorian Liquid Fuels Working Group (LFWG)</w:t>
            </w:r>
            <w:r w:rsidRPr="00DD2BEA">
              <w:rPr>
                <w:rFonts w:ascii="Arial" w:hAnsi="Arial"/>
                <w:color w:val="000000"/>
                <w:sz w:val="16"/>
                <w:szCs w:val="16"/>
              </w:rPr>
              <w:t xml:space="preserve"> comprises DELWP, the Australian Institute of Petroleum (AIP), Viva Energy, ExxonMobil, </w:t>
            </w:r>
            <w:proofErr w:type="spellStart"/>
            <w:r w:rsidRPr="00DD2BEA">
              <w:rPr>
                <w:rFonts w:ascii="Arial" w:hAnsi="Arial"/>
                <w:color w:val="000000"/>
                <w:sz w:val="16"/>
                <w:szCs w:val="16"/>
              </w:rPr>
              <w:t>Ampol</w:t>
            </w:r>
            <w:proofErr w:type="spellEnd"/>
            <w:r w:rsidRPr="00DD2BEA">
              <w:rPr>
                <w:rFonts w:ascii="Arial" w:hAnsi="Arial"/>
                <w:color w:val="000000"/>
                <w:sz w:val="16"/>
                <w:szCs w:val="16"/>
              </w:rPr>
              <w:t xml:space="preserve"> and BP. Per the AIP Communications Protocol (2015), the Victorian Government may convene the LFWG where there is a significant disruption to supply for fuel users.  </w:t>
            </w:r>
          </w:p>
          <w:p w14:paraId="45E0821F" w14:textId="77777777" w:rsidR="00DD2BEA" w:rsidRPr="00DD2BEA" w:rsidRDefault="00DD2BEA" w:rsidP="00DD2BEA">
            <w:pPr>
              <w:autoSpaceDE w:val="0"/>
              <w:autoSpaceDN w:val="0"/>
              <w:adjustRightInd w:val="0"/>
              <w:spacing w:after="120"/>
              <w:jc w:val="both"/>
              <w:rPr>
                <w:rFonts w:ascii="Arial" w:hAnsi="Arial"/>
                <w:color w:val="000000"/>
                <w:sz w:val="16"/>
                <w:szCs w:val="16"/>
              </w:rPr>
            </w:pPr>
            <w:r w:rsidRPr="00DD2BEA">
              <w:rPr>
                <w:rFonts w:ascii="Arial" w:hAnsi="Arial"/>
                <w:color w:val="000000"/>
                <w:sz w:val="16"/>
                <w:szCs w:val="16"/>
              </w:rPr>
              <w:t>This forum provides an ongoing two-way exchange of information and advice between government and industry on the expected extent of the disruption, impacts and consequences, and what the most effective response mechanisms would be.</w:t>
            </w:r>
          </w:p>
          <w:p w14:paraId="50ECC025" w14:textId="77777777" w:rsidR="00DD2BEA" w:rsidRPr="00DD2BEA" w:rsidRDefault="00DD2BEA" w:rsidP="00DD2BEA">
            <w:pPr>
              <w:autoSpaceDE w:val="0"/>
              <w:autoSpaceDN w:val="0"/>
              <w:adjustRightInd w:val="0"/>
              <w:spacing w:after="120"/>
              <w:jc w:val="both"/>
              <w:rPr>
                <w:rFonts w:ascii="Arial" w:hAnsi="Arial"/>
                <w:color w:val="000000"/>
                <w:sz w:val="16"/>
                <w:szCs w:val="16"/>
              </w:rPr>
            </w:pPr>
            <w:r w:rsidRPr="00DD2BEA">
              <w:rPr>
                <w:rFonts w:ascii="Arial" w:hAnsi="Arial"/>
                <w:color w:val="000000"/>
                <w:sz w:val="16"/>
                <w:szCs w:val="16"/>
              </w:rPr>
              <w:t>The LFWG can be convened concurrently with the NOSEC to manage any Victorian specific elements of a national liquid fuel emergency.</w:t>
            </w:r>
          </w:p>
        </w:tc>
      </w:tr>
      <w:tr w:rsidR="00DD2BEA" w:rsidRPr="00DD2BEA" w14:paraId="013F7EED" w14:textId="77777777" w:rsidTr="70E080EC">
        <w:trPr>
          <w:cantSplit/>
          <w:trHeight w:val="1914"/>
          <w:tblCellSpacing w:w="28" w:type="dxa"/>
        </w:trPr>
        <w:tc>
          <w:tcPr>
            <w:tcW w:w="1273" w:type="dxa"/>
            <w:vMerge/>
            <w:textDirection w:val="btLr"/>
          </w:tcPr>
          <w:p w14:paraId="3E9AF603" w14:textId="77777777" w:rsidR="00DD2BEA" w:rsidRPr="00DD2BEA" w:rsidRDefault="00DD2BEA" w:rsidP="00DD2BEA">
            <w:pPr>
              <w:spacing w:after="240"/>
              <w:rPr>
                <w:rFonts w:ascii="Arial" w:hAnsi="Arial"/>
                <w:sz w:val="22"/>
                <w:szCs w:val="24"/>
              </w:rPr>
            </w:pPr>
          </w:p>
        </w:tc>
        <w:tc>
          <w:tcPr>
            <w:tcW w:w="572" w:type="dxa"/>
            <w:vMerge/>
            <w:textDirection w:val="btLr"/>
          </w:tcPr>
          <w:p w14:paraId="59DC9C2B" w14:textId="77777777" w:rsidR="00DD2BEA" w:rsidRPr="00DD2BEA" w:rsidRDefault="00DD2BEA" w:rsidP="00DD2BEA">
            <w:pPr>
              <w:spacing w:after="240"/>
              <w:jc w:val="center"/>
              <w:rPr>
                <w:rFonts w:ascii="Arial" w:hAnsi="Arial"/>
                <w:b/>
                <w:bCs/>
                <w:sz w:val="22"/>
                <w:szCs w:val="22"/>
              </w:rPr>
            </w:pPr>
          </w:p>
        </w:tc>
        <w:tc>
          <w:tcPr>
            <w:tcW w:w="277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F5FF79B"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Australian Institute of Petroleum Communications Protocol (2015)</w:t>
            </w:r>
          </w:p>
          <w:p w14:paraId="1FAAFB48" w14:textId="77777777" w:rsidR="00DD2BEA" w:rsidRPr="00DD2BEA" w:rsidRDefault="00DD2BEA" w:rsidP="00DD2BEA">
            <w:pPr>
              <w:autoSpaceDE w:val="0"/>
              <w:autoSpaceDN w:val="0"/>
              <w:adjustRightInd w:val="0"/>
              <w:spacing w:after="120"/>
              <w:rPr>
                <w:rFonts w:ascii="Arial" w:hAnsi="Arial"/>
                <w:color w:val="000000"/>
                <w:sz w:val="16"/>
                <w:szCs w:val="16"/>
              </w:rPr>
            </w:pP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D76CA4D"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 xml:space="preserve">The AIP Communications Protocol (2015) on major fuel supply situations or disruptions is a framework for notifications, reporting and coordination of emergency response between and industry and the Victorian Government. </w:t>
            </w:r>
          </w:p>
          <w:p w14:paraId="513BE14F"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The protocol is activated, as soon as practicable, if a known fuel supply situation is or will likely have visible implications for fuel users in a jurisdiction(s).</w:t>
            </w:r>
          </w:p>
        </w:tc>
      </w:tr>
      <w:tr w:rsidR="00DD2BEA" w:rsidRPr="00DD2BEA" w14:paraId="40E17528" w14:textId="77777777" w:rsidTr="70E080EC">
        <w:trPr>
          <w:cantSplit/>
          <w:trHeight w:val="1797"/>
          <w:tblCellSpacing w:w="28" w:type="dxa"/>
        </w:trPr>
        <w:tc>
          <w:tcPr>
            <w:tcW w:w="1273" w:type="dxa"/>
            <w:vMerge/>
            <w:textDirection w:val="btLr"/>
          </w:tcPr>
          <w:p w14:paraId="7BF4FACC" w14:textId="77777777" w:rsidR="00DD2BEA" w:rsidRPr="00DD2BEA" w:rsidRDefault="00DD2BEA" w:rsidP="00DD2BEA">
            <w:pPr>
              <w:jc w:val="center"/>
              <w:rPr>
                <w:rFonts w:ascii="Arial" w:hAnsi="Arial"/>
                <w:b/>
                <w:bCs/>
                <w:sz w:val="30"/>
                <w:szCs w:val="30"/>
              </w:rPr>
            </w:pP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04666DD" w14:textId="77777777" w:rsidR="00DD2BEA" w:rsidRPr="00DD2BEA" w:rsidRDefault="00DD2BEA" w:rsidP="00DD2BEA">
            <w:pPr>
              <w:jc w:val="center"/>
              <w:rPr>
                <w:rFonts w:ascii="Arial" w:hAnsi="Arial"/>
                <w:b/>
                <w:bCs/>
                <w:sz w:val="22"/>
                <w:szCs w:val="22"/>
              </w:rPr>
            </w:pPr>
            <w:r w:rsidRPr="00DD2BEA">
              <w:rPr>
                <w:rFonts w:ascii="Arial" w:hAnsi="Arial"/>
                <w:b/>
                <w:bCs/>
                <w:sz w:val="22"/>
                <w:szCs w:val="22"/>
              </w:rPr>
              <w:t>Multi-jurisdictional</w:t>
            </w:r>
          </w:p>
        </w:tc>
        <w:tc>
          <w:tcPr>
            <w:tcW w:w="277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7E4E9F4"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National Oil Supplies Emergency Committee (NOSEC)</w:t>
            </w:r>
          </w:p>
          <w:p w14:paraId="13EFFBEE" w14:textId="77777777" w:rsidR="00DD2BEA" w:rsidRPr="00DD2BEA" w:rsidRDefault="00DD2BEA" w:rsidP="00DD2BEA">
            <w:pPr>
              <w:autoSpaceDE w:val="0"/>
              <w:autoSpaceDN w:val="0"/>
              <w:adjustRightInd w:val="0"/>
              <w:spacing w:after="120"/>
              <w:jc w:val="both"/>
              <w:rPr>
                <w:rFonts w:ascii="Arial" w:hAnsi="Arial"/>
                <w:color w:val="000000"/>
                <w:sz w:val="16"/>
                <w:szCs w:val="16"/>
              </w:rPr>
            </w:pP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8A0837E" w14:textId="77777777" w:rsidR="00DD2BEA" w:rsidRPr="00DD2BEA" w:rsidRDefault="00DD2BEA" w:rsidP="00DD2BEA">
            <w:pPr>
              <w:autoSpaceDE w:val="0"/>
              <w:autoSpaceDN w:val="0"/>
              <w:adjustRightInd w:val="0"/>
              <w:spacing w:after="120"/>
              <w:jc w:val="both"/>
              <w:rPr>
                <w:rFonts w:ascii="Arial" w:hAnsi="Arial"/>
                <w:color w:val="000000"/>
                <w:sz w:val="16"/>
                <w:szCs w:val="16"/>
              </w:rPr>
            </w:pPr>
            <w:r w:rsidRPr="00DD2BEA">
              <w:rPr>
                <w:rFonts w:ascii="Arial" w:hAnsi="Arial"/>
                <w:b/>
                <w:bCs/>
                <w:color w:val="000000"/>
                <w:sz w:val="16"/>
                <w:szCs w:val="16"/>
              </w:rPr>
              <w:t>NOSEC</w:t>
            </w:r>
            <w:r w:rsidRPr="00DD2BEA">
              <w:rPr>
                <w:rFonts w:ascii="Arial" w:hAnsi="Arial"/>
                <w:b/>
                <w:color w:val="000000"/>
                <w:sz w:val="16"/>
                <w:szCs w:val="16"/>
              </w:rPr>
              <w:t xml:space="preserve"> </w:t>
            </w:r>
            <w:r w:rsidRPr="00DD2BEA">
              <w:rPr>
                <w:rFonts w:ascii="Arial" w:hAnsi="Arial"/>
                <w:color w:val="000000"/>
                <w:sz w:val="16"/>
                <w:szCs w:val="16"/>
              </w:rPr>
              <w:t>consists of Commonwealth, State and Territory government representatives who in cooperation with the liquid fuel industry respond to widespread fuel shortages or emergencies.  NOSEC provides relevant advice and information on issues confronting national supply of crude oil and petroleum products and reports annually or as required to the Senior Committee of Officials on operations and the state of readiness.</w:t>
            </w:r>
          </w:p>
        </w:tc>
      </w:tr>
      <w:tr w:rsidR="00DD2BEA" w:rsidRPr="00DD2BEA" w14:paraId="53A4CCD6" w14:textId="77777777" w:rsidTr="70E080EC">
        <w:trPr>
          <w:cantSplit/>
          <w:trHeight w:val="776"/>
          <w:tblCellSpacing w:w="28" w:type="dxa"/>
        </w:trPr>
        <w:tc>
          <w:tcPr>
            <w:tcW w:w="1273" w:type="dxa"/>
            <w:vMerge/>
            <w:textDirection w:val="btLr"/>
          </w:tcPr>
          <w:p w14:paraId="24584717" w14:textId="77777777" w:rsidR="00DD2BEA" w:rsidRPr="00DD2BEA" w:rsidRDefault="00DD2BEA" w:rsidP="00DD2BEA">
            <w:pPr>
              <w:spacing w:after="240"/>
              <w:rPr>
                <w:rFonts w:ascii="Arial" w:hAnsi="Arial"/>
                <w:sz w:val="22"/>
                <w:szCs w:val="24"/>
              </w:rPr>
            </w:pPr>
          </w:p>
        </w:tc>
        <w:tc>
          <w:tcPr>
            <w:tcW w:w="572" w:type="dxa"/>
            <w:vMerge/>
            <w:textDirection w:val="btLr"/>
          </w:tcPr>
          <w:p w14:paraId="69AC02BD" w14:textId="77777777" w:rsidR="00DD2BEA" w:rsidRPr="00DD2BEA" w:rsidRDefault="00DD2BEA" w:rsidP="00DD2BEA">
            <w:pPr>
              <w:spacing w:after="240"/>
              <w:rPr>
                <w:rFonts w:ascii="Arial" w:hAnsi="Arial"/>
                <w:sz w:val="22"/>
                <w:szCs w:val="24"/>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06F1EE25"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National Operating Committee (NOC) for Jet Fuel Assurance</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A49C0FC" w14:textId="77777777" w:rsidR="00DD2BEA" w:rsidRPr="00DD2BEA" w:rsidRDefault="00DD2BEA" w:rsidP="00DD2BEA">
            <w:pPr>
              <w:spacing w:after="120"/>
              <w:rPr>
                <w:rFonts w:ascii="Arial" w:hAnsi="Arial"/>
                <w:sz w:val="16"/>
                <w:szCs w:val="16"/>
              </w:rPr>
            </w:pPr>
            <w:r w:rsidRPr="00DD2BEA">
              <w:rPr>
                <w:rFonts w:ascii="Arial" w:hAnsi="Arial"/>
                <w:color w:val="000000"/>
                <w:sz w:val="16"/>
                <w:szCs w:val="16"/>
              </w:rPr>
              <w:t>The NOC is a voluntary industry-led body established to minimise the risks of jet fuel supply disruption at eight major Australian airports and three regional international airports.</w:t>
            </w:r>
          </w:p>
          <w:p w14:paraId="4A7D3839" w14:textId="77777777" w:rsidR="00DD2BEA" w:rsidRPr="00DD2BEA" w:rsidRDefault="00DD2BEA" w:rsidP="00DD2BEA">
            <w:pPr>
              <w:spacing w:after="120"/>
              <w:rPr>
                <w:rFonts w:ascii="Arial" w:hAnsi="Arial"/>
                <w:sz w:val="16"/>
                <w:szCs w:val="16"/>
              </w:rPr>
            </w:pPr>
            <w:r w:rsidRPr="00DD2BEA">
              <w:rPr>
                <w:rFonts w:ascii="Arial" w:hAnsi="Arial"/>
                <w:color w:val="000000"/>
                <w:sz w:val="16"/>
                <w:szCs w:val="16"/>
              </w:rPr>
              <w:t xml:space="preserve">The NOC comprises </w:t>
            </w:r>
            <w:proofErr w:type="gramStart"/>
            <w:r w:rsidRPr="00DD2BEA">
              <w:rPr>
                <w:rFonts w:ascii="Arial" w:hAnsi="Arial"/>
                <w:color w:val="000000"/>
                <w:sz w:val="16"/>
                <w:szCs w:val="16"/>
              </w:rPr>
              <w:t>all of</w:t>
            </w:r>
            <w:proofErr w:type="gramEnd"/>
            <w:r w:rsidRPr="00DD2BEA">
              <w:rPr>
                <w:rFonts w:ascii="Arial" w:hAnsi="Arial"/>
                <w:color w:val="000000"/>
                <w:sz w:val="16"/>
                <w:szCs w:val="16"/>
              </w:rPr>
              <w:t xml:space="preserve"> the major Australian jet fuel suppliers, and its key purposes is to communicate the status of current and future jet fuel supply availability at Australian and New Zealand major airports. </w:t>
            </w:r>
          </w:p>
          <w:p w14:paraId="40E2B0C8" w14:textId="77777777" w:rsidR="00DD2BEA" w:rsidRPr="00DD2BEA" w:rsidRDefault="00DD2BEA" w:rsidP="00DD2BEA">
            <w:pPr>
              <w:spacing w:after="120"/>
              <w:rPr>
                <w:rFonts w:ascii="Arial" w:hAnsi="Arial"/>
                <w:sz w:val="16"/>
                <w:szCs w:val="16"/>
              </w:rPr>
            </w:pPr>
            <w:r w:rsidRPr="00DD2BEA">
              <w:rPr>
                <w:rFonts w:ascii="Arial" w:hAnsi="Arial"/>
                <w:color w:val="000000"/>
                <w:sz w:val="16"/>
                <w:szCs w:val="16"/>
              </w:rPr>
              <w:t xml:space="preserve">It communicates through regular reporting to nominated members of government and industry. </w:t>
            </w:r>
          </w:p>
        </w:tc>
      </w:tr>
      <w:tr w:rsidR="00DD2BEA" w:rsidRPr="00DD2BEA" w14:paraId="3271C38F" w14:textId="77777777" w:rsidTr="70E080EC">
        <w:trPr>
          <w:cantSplit/>
          <w:trHeight w:val="776"/>
          <w:tblCellSpacing w:w="28" w:type="dxa"/>
        </w:trPr>
        <w:tc>
          <w:tcPr>
            <w:tcW w:w="1273" w:type="dxa"/>
            <w:vMerge/>
            <w:textDirection w:val="btLr"/>
          </w:tcPr>
          <w:p w14:paraId="745301F5" w14:textId="77777777" w:rsidR="00DD2BEA" w:rsidRPr="00DD2BEA" w:rsidRDefault="00DD2BEA" w:rsidP="00DD2BEA">
            <w:pPr>
              <w:spacing w:after="240"/>
              <w:rPr>
                <w:rFonts w:ascii="Arial" w:hAnsi="Arial"/>
                <w:sz w:val="22"/>
                <w:szCs w:val="24"/>
              </w:rPr>
            </w:pPr>
          </w:p>
        </w:tc>
        <w:tc>
          <w:tcPr>
            <w:tcW w:w="572" w:type="dxa"/>
            <w:vMerge/>
            <w:textDirection w:val="btLr"/>
          </w:tcPr>
          <w:p w14:paraId="2F7F1A80" w14:textId="77777777" w:rsidR="00DD2BEA" w:rsidRPr="00DD2BEA" w:rsidRDefault="00DD2BEA" w:rsidP="00DD2BEA">
            <w:pPr>
              <w:spacing w:after="240"/>
              <w:rPr>
                <w:rFonts w:ascii="Arial" w:hAnsi="Arial"/>
                <w:sz w:val="22"/>
                <w:szCs w:val="24"/>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3A287C23"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Intergovernmental Agreement</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E2F2A2D" w14:textId="77777777" w:rsidR="00DD2BEA" w:rsidRPr="00DD2BEA" w:rsidRDefault="00DD2BEA" w:rsidP="00DD2BEA">
            <w:pPr>
              <w:spacing w:after="120"/>
              <w:rPr>
                <w:rFonts w:ascii="Arial" w:hAnsi="Arial"/>
                <w:sz w:val="16"/>
                <w:szCs w:val="16"/>
              </w:rPr>
            </w:pPr>
            <w:r w:rsidRPr="00DD2BEA">
              <w:rPr>
                <w:rFonts w:ascii="Arial" w:hAnsi="Arial"/>
                <w:color w:val="000000"/>
                <w:sz w:val="16"/>
                <w:szCs w:val="16"/>
              </w:rPr>
              <w:t>States and territories must be consulted prior to the declaration of a national emergency. An Intergovernmental Agreement (2006) sets out parameters for a co-operative response, and the National Liquid Fuel Emergency Response Plan and supporting documents describe these arrangements.</w:t>
            </w:r>
          </w:p>
        </w:tc>
      </w:tr>
      <w:tr w:rsidR="00DD2BEA" w:rsidRPr="00DD2BEA" w14:paraId="02B08829" w14:textId="77777777" w:rsidTr="70E080EC">
        <w:trPr>
          <w:cantSplit/>
          <w:trHeight w:val="776"/>
          <w:tblCellSpacing w:w="28" w:type="dxa"/>
        </w:trPr>
        <w:tc>
          <w:tcPr>
            <w:tcW w:w="1273" w:type="dxa"/>
            <w:vMerge/>
            <w:textDirection w:val="btLr"/>
          </w:tcPr>
          <w:p w14:paraId="51681C2A" w14:textId="77777777" w:rsidR="00DD2BEA" w:rsidRPr="00DD2BEA" w:rsidRDefault="00DD2BEA" w:rsidP="00DD2BEA">
            <w:pPr>
              <w:jc w:val="center"/>
              <w:rPr>
                <w:rFonts w:ascii="Arial" w:hAnsi="Arial"/>
                <w:b/>
                <w:bCs/>
                <w:sz w:val="30"/>
                <w:szCs w:val="30"/>
              </w:rPr>
            </w:pPr>
          </w:p>
        </w:tc>
        <w:tc>
          <w:tcPr>
            <w:tcW w:w="572" w:type="dxa"/>
            <w:vMerge/>
            <w:textDirection w:val="btLr"/>
          </w:tcPr>
          <w:p w14:paraId="220D6195" w14:textId="77777777" w:rsidR="00DD2BEA" w:rsidRPr="00DD2BEA" w:rsidRDefault="00DD2BEA" w:rsidP="00DD2BEA">
            <w:pPr>
              <w:jc w:val="center"/>
              <w:rPr>
                <w:rFonts w:ascii="Arial" w:hAnsi="Arial"/>
                <w:b/>
                <w:bCs/>
                <w:sz w:val="22"/>
                <w:szCs w:val="22"/>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7665614D"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National Liquid Fuel Emergency Response Plan (NLFERP)</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A52AE73" w14:textId="77777777" w:rsidR="00DD2BEA" w:rsidRPr="00DD2BEA" w:rsidRDefault="00DD2BEA" w:rsidP="00DD2BEA">
            <w:pPr>
              <w:spacing w:after="120"/>
              <w:rPr>
                <w:rFonts w:ascii="Arial" w:hAnsi="Arial"/>
                <w:sz w:val="16"/>
                <w:szCs w:val="16"/>
              </w:rPr>
            </w:pPr>
            <w:r w:rsidRPr="00DD2BEA">
              <w:rPr>
                <w:rFonts w:ascii="Arial" w:hAnsi="Arial"/>
                <w:sz w:val="16"/>
                <w:szCs w:val="16"/>
              </w:rPr>
              <w:t xml:space="preserve">The NLFERP reinforces established industry and market strategies for returning Australia to normal fuel supply levels. It includes a communication plan designed to support the successful management of any liquid fuel emergency. It can be used to bring powers under the </w:t>
            </w:r>
            <w:r w:rsidRPr="00DD2BEA">
              <w:rPr>
                <w:rFonts w:ascii="Arial" w:hAnsi="Arial"/>
                <w:i/>
                <w:iCs/>
                <w:sz w:val="16"/>
                <w:szCs w:val="16"/>
              </w:rPr>
              <w:t>Liquid Fuel Emergency Act 1984</w:t>
            </w:r>
            <w:r w:rsidRPr="00DD2BEA">
              <w:rPr>
                <w:rFonts w:ascii="Arial" w:hAnsi="Arial"/>
                <w:sz w:val="16"/>
                <w:szCs w:val="16"/>
              </w:rPr>
              <w:t xml:space="preserve"> into </w:t>
            </w:r>
            <w:proofErr w:type="gramStart"/>
            <w:r w:rsidRPr="00DD2BEA">
              <w:rPr>
                <w:rFonts w:ascii="Arial" w:hAnsi="Arial"/>
                <w:sz w:val="16"/>
                <w:szCs w:val="16"/>
              </w:rPr>
              <w:t>operation, if</w:t>
            </w:r>
            <w:proofErr w:type="gramEnd"/>
            <w:r w:rsidRPr="00DD2BEA">
              <w:rPr>
                <w:rFonts w:ascii="Arial" w:hAnsi="Arial"/>
                <w:sz w:val="16"/>
                <w:szCs w:val="16"/>
              </w:rPr>
              <w:t xml:space="preserve"> a national supply disruption is severe or may last for a long time. </w:t>
            </w:r>
          </w:p>
          <w:p w14:paraId="40FB45C6" w14:textId="77777777" w:rsidR="00DD2BEA" w:rsidRPr="00DD2BEA" w:rsidRDefault="00DD2BEA" w:rsidP="00DD2BEA">
            <w:pPr>
              <w:spacing w:after="120"/>
              <w:rPr>
                <w:rFonts w:ascii="Arial" w:hAnsi="Arial"/>
                <w:sz w:val="16"/>
                <w:szCs w:val="16"/>
              </w:rPr>
            </w:pPr>
            <w:r w:rsidRPr="00DD2BEA">
              <w:rPr>
                <w:rFonts w:ascii="Arial" w:hAnsi="Arial"/>
                <w:sz w:val="16"/>
                <w:szCs w:val="16"/>
              </w:rPr>
              <w:t>It aims to ensure fuel is allocated in the most efficient and fair way, and that the impact of any shortage on fuel users is minimised.</w:t>
            </w:r>
          </w:p>
        </w:tc>
      </w:tr>
      <w:tr w:rsidR="00DD2BEA" w:rsidRPr="00DD2BEA" w14:paraId="21023B10" w14:textId="77777777" w:rsidTr="70E080EC">
        <w:trPr>
          <w:cantSplit/>
          <w:trHeight w:val="776"/>
          <w:tblCellSpacing w:w="28" w:type="dxa"/>
        </w:trPr>
        <w:tc>
          <w:tcPr>
            <w:tcW w:w="1273" w:type="dxa"/>
            <w:vMerge/>
            <w:textDirection w:val="btLr"/>
          </w:tcPr>
          <w:p w14:paraId="49644E75" w14:textId="77777777" w:rsidR="00DD2BEA" w:rsidRPr="00DD2BEA" w:rsidRDefault="00DD2BEA" w:rsidP="00DD2BEA">
            <w:pPr>
              <w:spacing w:after="240"/>
              <w:rPr>
                <w:rFonts w:ascii="Arial" w:hAnsi="Arial"/>
                <w:sz w:val="22"/>
                <w:szCs w:val="24"/>
              </w:rPr>
            </w:pPr>
          </w:p>
        </w:tc>
        <w:tc>
          <w:tcPr>
            <w:tcW w:w="572" w:type="dxa"/>
            <w:vMerge/>
            <w:textDirection w:val="btLr"/>
          </w:tcPr>
          <w:p w14:paraId="2822B5E0" w14:textId="77777777" w:rsidR="00DD2BEA" w:rsidRPr="00DD2BEA" w:rsidRDefault="00DD2BEA" w:rsidP="00DD2BEA">
            <w:pPr>
              <w:spacing w:after="240"/>
              <w:rPr>
                <w:rFonts w:ascii="Arial" w:hAnsi="Arial"/>
                <w:sz w:val="22"/>
                <w:szCs w:val="24"/>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56A814E9"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Liquid Fuel Emergency Guidelines 2019</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93713E0" w14:textId="77777777" w:rsidR="00DD2BEA" w:rsidRPr="00DD2BEA" w:rsidRDefault="00DD2BEA" w:rsidP="00DD2BEA">
            <w:pPr>
              <w:spacing w:after="120"/>
              <w:rPr>
                <w:rFonts w:ascii="Arial" w:hAnsi="Arial"/>
                <w:sz w:val="16"/>
                <w:szCs w:val="16"/>
              </w:rPr>
            </w:pPr>
            <w:r w:rsidRPr="00DD2BEA">
              <w:rPr>
                <w:rFonts w:ascii="Arial" w:hAnsi="Arial"/>
                <w:sz w:val="16"/>
                <w:szCs w:val="16"/>
              </w:rPr>
              <w:t xml:space="preserve">The Guidelines are subordinate instrument under the </w:t>
            </w:r>
            <w:r w:rsidRPr="00DD2BEA">
              <w:rPr>
                <w:rFonts w:ascii="Arial" w:hAnsi="Arial"/>
                <w:i/>
                <w:iCs/>
                <w:sz w:val="16"/>
                <w:szCs w:val="16"/>
              </w:rPr>
              <w:t xml:space="preserve">Liquid Fuel Emergency Act </w:t>
            </w:r>
            <w:r w:rsidRPr="00DD2BEA">
              <w:rPr>
                <w:rFonts w:ascii="Arial" w:hAnsi="Arial"/>
                <w:sz w:val="16"/>
                <w:szCs w:val="16"/>
              </w:rPr>
              <w:t>1984, which aims to ensure that both essential and non-essential users in the Australian market receive fuel in an equitable and transparent manner during an emergency, based on available supplies.</w:t>
            </w:r>
          </w:p>
        </w:tc>
      </w:tr>
      <w:tr w:rsidR="00DD2BEA" w:rsidRPr="00DD2BEA" w14:paraId="4260CFE4" w14:textId="77777777" w:rsidTr="70E080EC">
        <w:trPr>
          <w:cantSplit/>
          <w:trHeight w:val="776"/>
          <w:tblCellSpacing w:w="28" w:type="dxa"/>
        </w:trPr>
        <w:tc>
          <w:tcPr>
            <w:tcW w:w="1273" w:type="dxa"/>
            <w:vMerge/>
            <w:textDirection w:val="btLr"/>
          </w:tcPr>
          <w:p w14:paraId="6DA0A19D" w14:textId="77777777" w:rsidR="00DD2BEA" w:rsidRPr="00DD2BEA" w:rsidRDefault="00DD2BEA" w:rsidP="00DD2BEA">
            <w:pPr>
              <w:spacing w:after="240"/>
              <w:rPr>
                <w:rFonts w:ascii="Arial" w:hAnsi="Arial"/>
                <w:sz w:val="22"/>
                <w:szCs w:val="24"/>
              </w:rPr>
            </w:pPr>
          </w:p>
        </w:tc>
        <w:tc>
          <w:tcPr>
            <w:tcW w:w="572" w:type="dxa"/>
            <w:vMerge/>
            <w:textDirection w:val="btLr"/>
          </w:tcPr>
          <w:p w14:paraId="4664E4D8" w14:textId="77777777" w:rsidR="00DD2BEA" w:rsidRPr="00DD2BEA" w:rsidRDefault="00DD2BEA" w:rsidP="00DD2BEA">
            <w:pPr>
              <w:spacing w:after="240"/>
              <w:rPr>
                <w:rFonts w:ascii="Arial" w:hAnsi="Arial"/>
                <w:sz w:val="22"/>
                <w:szCs w:val="24"/>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27AC0005"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Liquid Fuel Emergency (Activities—Essential Users) Determination 2019</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C899995" w14:textId="77777777" w:rsidR="00DD2BEA" w:rsidRPr="00DD2BEA" w:rsidRDefault="00DD2BEA" w:rsidP="00DD2BEA">
            <w:pPr>
              <w:spacing w:after="120"/>
              <w:rPr>
                <w:rFonts w:ascii="Arial" w:hAnsi="Arial"/>
                <w:sz w:val="16"/>
                <w:szCs w:val="16"/>
              </w:rPr>
            </w:pPr>
            <w:r w:rsidRPr="00DD2BEA">
              <w:rPr>
                <w:rFonts w:ascii="Arial" w:hAnsi="Arial"/>
                <w:sz w:val="16"/>
                <w:szCs w:val="16"/>
              </w:rPr>
              <w:t xml:space="preserve">The Determination is a subordinate instrument under the </w:t>
            </w:r>
            <w:r w:rsidRPr="00DD2BEA">
              <w:rPr>
                <w:rFonts w:ascii="Arial" w:hAnsi="Arial"/>
                <w:i/>
                <w:iCs/>
                <w:sz w:val="16"/>
                <w:szCs w:val="16"/>
              </w:rPr>
              <w:t>Liquid Fuel Emergency Act 1984</w:t>
            </w:r>
            <w:r w:rsidRPr="00DD2BEA">
              <w:rPr>
                <w:rFonts w:ascii="Arial" w:hAnsi="Arial"/>
                <w:sz w:val="16"/>
                <w:szCs w:val="16"/>
              </w:rPr>
              <w:t xml:space="preserve"> which provides a predetermined list of essential user activities.</w:t>
            </w:r>
          </w:p>
          <w:p w14:paraId="15D5B3D6" w14:textId="77777777" w:rsidR="00DD2BEA" w:rsidRPr="00DD2BEA" w:rsidRDefault="00DD2BEA" w:rsidP="00DD2BEA">
            <w:pPr>
              <w:spacing w:after="120"/>
              <w:rPr>
                <w:rFonts w:ascii="Arial" w:hAnsi="Arial"/>
                <w:sz w:val="16"/>
                <w:szCs w:val="16"/>
              </w:rPr>
            </w:pPr>
            <w:r w:rsidRPr="00DD2BEA">
              <w:rPr>
                <w:rFonts w:ascii="Arial" w:hAnsi="Arial"/>
                <w:sz w:val="16"/>
                <w:szCs w:val="16"/>
              </w:rPr>
              <w:t>This allows for greater planning and preparation, so that if a liquid fuel emergency does occur, there will be an existing strategy to prioritise the needs of these Essential Users.</w:t>
            </w:r>
          </w:p>
        </w:tc>
      </w:tr>
      <w:tr w:rsidR="00DD2BEA" w:rsidRPr="00DD2BEA" w14:paraId="20329F70" w14:textId="77777777" w:rsidTr="70E080EC">
        <w:trPr>
          <w:cantSplit/>
          <w:trHeight w:val="776"/>
          <w:tblCellSpacing w:w="28" w:type="dxa"/>
        </w:trPr>
        <w:tc>
          <w:tcPr>
            <w:tcW w:w="1273" w:type="dxa"/>
            <w:vMerge/>
            <w:textDirection w:val="btLr"/>
          </w:tcPr>
          <w:p w14:paraId="17142BAE" w14:textId="77777777" w:rsidR="00DD2BEA" w:rsidRPr="00DD2BEA" w:rsidRDefault="00DD2BEA" w:rsidP="00DD2BEA">
            <w:pPr>
              <w:jc w:val="center"/>
              <w:rPr>
                <w:rFonts w:ascii="Arial" w:hAnsi="Arial"/>
                <w:b/>
                <w:bCs/>
                <w:sz w:val="30"/>
                <w:szCs w:val="30"/>
              </w:rPr>
            </w:pPr>
          </w:p>
        </w:tc>
        <w:tc>
          <w:tcPr>
            <w:tcW w:w="572" w:type="dxa"/>
            <w:vMerge/>
            <w:textDirection w:val="btLr"/>
          </w:tcPr>
          <w:p w14:paraId="7BDC817B" w14:textId="77777777" w:rsidR="00DD2BEA" w:rsidRPr="00DD2BEA" w:rsidRDefault="00DD2BEA" w:rsidP="00DD2BEA">
            <w:pPr>
              <w:jc w:val="center"/>
              <w:rPr>
                <w:rFonts w:ascii="Arial" w:hAnsi="Arial"/>
                <w:b/>
                <w:bCs/>
                <w:sz w:val="22"/>
                <w:szCs w:val="22"/>
              </w:rPr>
            </w:pPr>
          </w:p>
        </w:tc>
        <w:tc>
          <w:tcPr>
            <w:tcW w:w="2774" w:type="dxa"/>
            <w:tcBorders>
              <w:top w:val="single" w:sz="12" w:space="0" w:color="808080" w:themeColor="background1" w:themeShade="80"/>
              <w:left w:val="single" w:sz="4" w:space="0" w:color="auto"/>
              <w:bottom w:val="single" w:sz="12" w:space="0" w:color="808080" w:themeColor="background1" w:themeShade="80"/>
              <w:right w:val="single" w:sz="12" w:space="0" w:color="808080" w:themeColor="background1" w:themeShade="80"/>
            </w:tcBorders>
          </w:tcPr>
          <w:p w14:paraId="556052A1" w14:textId="77777777" w:rsidR="00DD2BEA" w:rsidRPr="00DD2BEA" w:rsidRDefault="00DD2BEA" w:rsidP="00DD2BEA">
            <w:pPr>
              <w:autoSpaceDE w:val="0"/>
              <w:autoSpaceDN w:val="0"/>
              <w:adjustRightInd w:val="0"/>
              <w:spacing w:after="120"/>
              <w:rPr>
                <w:rFonts w:ascii="Arial" w:hAnsi="Arial"/>
                <w:color w:val="000000"/>
                <w:sz w:val="16"/>
                <w:szCs w:val="16"/>
              </w:rPr>
            </w:pPr>
            <w:r w:rsidRPr="00DD2BEA">
              <w:rPr>
                <w:rFonts w:ascii="Arial" w:hAnsi="Arial"/>
                <w:color w:val="000000"/>
                <w:sz w:val="16"/>
                <w:szCs w:val="16"/>
              </w:rPr>
              <w:t>Guidance Note on Retail Rationing</w:t>
            </w:r>
          </w:p>
        </w:tc>
        <w:tc>
          <w:tcPr>
            <w:tcW w:w="37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B4EC992" w14:textId="77777777" w:rsidR="00DD2BEA" w:rsidRPr="00DD2BEA" w:rsidRDefault="00DD2BEA" w:rsidP="00DD2BEA">
            <w:pPr>
              <w:spacing w:after="120"/>
              <w:rPr>
                <w:rFonts w:ascii="Arial" w:hAnsi="Arial"/>
                <w:sz w:val="16"/>
                <w:szCs w:val="16"/>
              </w:rPr>
            </w:pPr>
            <w:r w:rsidRPr="70E080EC">
              <w:rPr>
                <w:rFonts w:ascii="Arial" w:hAnsi="Arial"/>
                <w:sz w:val="16"/>
                <w:szCs w:val="16"/>
              </w:rPr>
              <w:t xml:space="preserve">The Retail Rationing Framework is part of the </w:t>
            </w:r>
            <w:bookmarkStart w:id="1983" w:name="_Int_iPmVWnOX"/>
            <w:proofErr w:type="gramStart"/>
            <w:r w:rsidRPr="70E080EC">
              <w:rPr>
                <w:rFonts w:ascii="Arial" w:hAnsi="Arial"/>
                <w:sz w:val="16"/>
                <w:szCs w:val="16"/>
              </w:rPr>
              <w:t>NLFERP, and</w:t>
            </w:r>
            <w:bookmarkEnd w:id="1983"/>
            <w:proofErr w:type="gramEnd"/>
            <w:r w:rsidRPr="70E080EC">
              <w:rPr>
                <w:rFonts w:ascii="Arial" w:hAnsi="Arial"/>
                <w:sz w:val="16"/>
                <w:szCs w:val="16"/>
              </w:rPr>
              <w:t xml:space="preserve"> governs the way liquid fuel is rationed in Australia. </w:t>
            </w:r>
          </w:p>
          <w:p w14:paraId="4897D322" w14:textId="77777777" w:rsidR="00DD2BEA" w:rsidRPr="00DD2BEA" w:rsidRDefault="00DD2BEA" w:rsidP="00DD2BEA">
            <w:pPr>
              <w:spacing w:after="120"/>
              <w:rPr>
                <w:rFonts w:ascii="Arial" w:hAnsi="Arial"/>
                <w:sz w:val="16"/>
                <w:szCs w:val="16"/>
              </w:rPr>
            </w:pPr>
            <w:r w:rsidRPr="00DD2BEA">
              <w:rPr>
                <w:rFonts w:ascii="Arial" w:hAnsi="Arial"/>
                <w:sz w:val="16"/>
                <w:szCs w:val="16"/>
              </w:rPr>
              <w:t>The current rationing approach would involve limiting the volume of fuel a motorist can purchase up to a pre-defined daily dollar-value.</w:t>
            </w:r>
          </w:p>
          <w:p w14:paraId="038BAB2D" w14:textId="77777777" w:rsidR="00DD2BEA" w:rsidRPr="00DD2BEA" w:rsidRDefault="00DD2BEA" w:rsidP="00DD2BEA">
            <w:pPr>
              <w:spacing w:after="120"/>
              <w:rPr>
                <w:rFonts w:ascii="Arial" w:hAnsi="Arial"/>
                <w:sz w:val="16"/>
                <w:szCs w:val="16"/>
              </w:rPr>
            </w:pPr>
            <w:r w:rsidRPr="00DD2BEA">
              <w:rPr>
                <w:rFonts w:ascii="Arial" w:hAnsi="Arial"/>
                <w:sz w:val="16"/>
                <w:szCs w:val="16"/>
              </w:rPr>
              <w:t>A NOSEC Guidance Note on Retail Rationing was agreed in 2016 to help retailers and members of the public plan for the unlikely event that retail rationing is required. All essential users are prioritised under a retail rationing framework.</w:t>
            </w:r>
          </w:p>
        </w:tc>
      </w:tr>
    </w:tbl>
    <w:p w14:paraId="46D3A9F3" w14:textId="77777777" w:rsidR="00DD2A1D" w:rsidRPr="003907AC" w:rsidRDefault="00DD2A1D" w:rsidP="00DD2A1D"/>
    <w:p w14:paraId="412BA72B" w14:textId="77777777" w:rsidR="00DD2A1D" w:rsidRPr="003907AC" w:rsidRDefault="00DD2A1D" w:rsidP="00DD2A1D">
      <w:pPr>
        <w:rPr>
          <w:rFonts w:eastAsiaTheme="minorEastAsia"/>
        </w:rPr>
      </w:pPr>
      <w:r w:rsidRPr="003907AC">
        <w:br w:type="page"/>
      </w:r>
    </w:p>
    <w:p w14:paraId="42B8F8EF" w14:textId="77777777" w:rsidR="00DD2A1D" w:rsidRPr="003907AC" w:rsidRDefault="00DD2A1D" w:rsidP="00DD2A1D">
      <w:pPr>
        <w:sectPr w:rsidR="00DD2A1D" w:rsidRPr="003907AC" w:rsidSect="007D7398">
          <w:headerReference w:type="even" r:id="rId31"/>
          <w:headerReference w:type="default" r:id="rId32"/>
          <w:footerReference w:type="even" r:id="rId33"/>
          <w:footerReference w:type="default" r:id="rId34"/>
          <w:headerReference w:type="first" r:id="rId35"/>
          <w:footerReference w:type="first" r:id="rId36"/>
          <w:pgSz w:w="11920" w:h="16840"/>
          <w:pgMar w:top="1560" w:right="1855" w:bottom="1560" w:left="1560" w:header="709" w:footer="802" w:gutter="0"/>
          <w:cols w:space="720"/>
          <w:noEndnote/>
          <w:titlePg/>
          <w:docGrid w:linePitch="299"/>
        </w:sectPr>
      </w:pPr>
    </w:p>
    <w:p w14:paraId="4D32BA45" w14:textId="77777777" w:rsidR="00DD2A1D" w:rsidRPr="003907AC" w:rsidRDefault="00DD2A1D" w:rsidP="00DD2A1D">
      <w:pPr>
        <w:pStyle w:val="Heading1"/>
      </w:pPr>
      <w:bookmarkStart w:id="1984" w:name="_Toc82274526"/>
      <w:bookmarkStart w:id="1985" w:name="_Toc82350829"/>
      <w:bookmarkStart w:id="1986" w:name="_Toc90319430"/>
      <w:bookmarkStart w:id="1987" w:name="_Toc1121896446"/>
      <w:bookmarkStart w:id="1988" w:name="_Toc1030216874"/>
      <w:bookmarkStart w:id="1989" w:name="_Toc1929565359"/>
      <w:bookmarkStart w:id="1990" w:name="_Toc1185943816"/>
      <w:bookmarkStart w:id="1991" w:name="_Toc326161464"/>
      <w:bookmarkStart w:id="1992" w:name="_Toc2119328800"/>
      <w:bookmarkStart w:id="1993" w:name="_Toc1488400641"/>
      <w:bookmarkStart w:id="1994" w:name="_Toc2145878839"/>
      <w:bookmarkStart w:id="1995" w:name="_Toc2096862102"/>
      <w:bookmarkStart w:id="1996" w:name="_Toc1961544576"/>
      <w:bookmarkStart w:id="1997" w:name="_Toc1887011172"/>
      <w:bookmarkStart w:id="1998" w:name="_Toc2113345250"/>
      <w:bookmarkStart w:id="1999" w:name="_Toc731469736"/>
      <w:bookmarkStart w:id="2000" w:name="_Toc233308897"/>
      <w:bookmarkStart w:id="2001" w:name="_Toc185696566"/>
      <w:bookmarkStart w:id="2002" w:name="_Toc681719083"/>
      <w:bookmarkStart w:id="2003" w:name="_Toc1652381630"/>
      <w:bookmarkStart w:id="2004" w:name="_Toc2063580780"/>
      <w:bookmarkStart w:id="2005" w:name="_Toc778482913"/>
      <w:bookmarkStart w:id="2006" w:name="_Toc1453445768"/>
      <w:bookmarkStart w:id="2007" w:name="_Toc124688568"/>
      <w:bookmarkStart w:id="2008" w:name="_Toc1056145726"/>
      <w:bookmarkStart w:id="2009" w:name="_Toc977077161"/>
      <w:bookmarkStart w:id="2010" w:name="_Toc1114130912"/>
      <w:bookmarkStart w:id="2011" w:name="_Toc1525319745"/>
      <w:bookmarkStart w:id="2012" w:name="_Toc247638993"/>
      <w:bookmarkStart w:id="2013" w:name="_Toc1331903616"/>
      <w:bookmarkStart w:id="2014" w:name="_Toc649143104"/>
      <w:bookmarkStart w:id="2015" w:name="_Toc942049391"/>
      <w:bookmarkStart w:id="2016" w:name="_Toc1358673791"/>
      <w:bookmarkStart w:id="2017" w:name="_Toc1219405041"/>
      <w:bookmarkStart w:id="2018" w:name="_Toc946536645"/>
      <w:bookmarkStart w:id="2019" w:name="_Toc1173774401"/>
      <w:bookmarkStart w:id="2020" w:name="_Toc359578818"/>
      <w:bookmarkStart w:id="2021" w:name="_Toc1859931660"/>
      <w:bookmarkStart w:id="2022" w:name="_Toc1300484820"/>
      <w:bookmarkStart w:id="2023" w:name="_Toc1697371659"/>
      <w:bookmarkStart w:id="2024" w:name="_Toc271567606"/>
      <w:bookmarkStart w:id="2025" w:name="_Toc1611868537"/>
      <w:bookmarkStart w:id="2026" w:name="_Toc2073876955"/>
      <w:bookmarkStart w:id="2027" w:name="_Toc1171314370"/>
      <w:bookmarkStart w:id="2028" w:name="_Toc715490195"/>
      <w:bookmarkStart w:id="2029" w:name="_Toc1590479618"/>
      <w:bookmarkStart w:id="2030" w:name="_Toc1520616130"/>
      <w:bookmarkStart w:id="2031" w:name="_Toc495060581"/>
      <w:bookmarkStart w:id="2032" w:name="_Toc94013218"/>
      <w:bookmarkEnd w:id="1778"/>
      <w:r>
        <w:lastRenderedPageBreak/>
        <w:t xml:space="preserve">Appendix C: Related plans, </w:t>
      </w:r>
      <w:proofErr w:type="gramStart"/>
      <w:r>
        <w:t>documents</w:t>
      </w:r>
      <w:proofErr w:type="gramEnd"/>
      <w:r>
        <w:t xml:space="preserve"> and services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tbl>
      <w:tblPr>
        <w:tblW w:w="887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3113"/>
        <w:gridCol w:w="5760"/>
      </w:tblGrid>
      <w:tr w:rsidR="00DD2A1D" w:rsidRPr="003907AC" w14:paraId="78FAC235" w14:textId="77777777" w:rsidTr="7EA0B018">
        <w:trPr>
          <w:tblHeader/>
        </w:trPr>
        <w:tc>
          <w:tcPr>
            <w:tcW w:w="3113" w:type="dxa"/>
            <w:shd w:val="clear" w:color="auto" w:fill="006794"/>
          </w:tcPr>
          <w:p w14:paraId="2E20D3EA" w14:textId="77777777" w:rsidR="00DD2A1D" w:rsidRPr="003907AC" w:rsidRDefault="00DD2A1D" w:rsidP="00DD2A1D">
            <w:pPr>
              <w:pStyle w:val="TableHeading"/>
              <w:spacing w:beforeLines="40" w:before="96" w:afterLines="40" w:after="96"/>
              <w:rPr>
                <w:sz w:val="16"/>
                <w:szCs w:val="16"/>
              </w:rPr>
            </w:pPr>
            <w:r w:rsidRPr="003907AC">
              <w:rPr>
                <w:sz w:val="16"/>
                <w:szCs w:val="16"/>
              </w:rPr>
              <w:t>DOCUMENT</w:t>
            </w:r>
          </w:p>
        </w:tc>
        <w:tc>
          <w:tcPr>
            <w:tcW w:w="5760" w:type="dxa"/>
            <w:shd w:val="clear" w:color="auto" w:fill="006794"/>
          </w:tcPr>
          <w:p w14:paraId="3C6E9299" w14:textId="77777777" w:rsidR="00DD2A1D" w:rsidRPr="003907AC" w:rsidRDefault="00DD2A1D" w:rsidP="00DD2A1D">
            <w:pPr>
              <w:pStyle w:val="TableHeading"/>
              <w:spacing w:beforeLines="40" w:before="96" w:afterLines="40" w:after="96"/>
              <w:rPr>
                <w:sz w:val="16"/>
                <w:szCs w:val="16"/>
              </w:rPr>
            </w:pPr>
            <w:r w:rsidRPr="003907AC">
              <w:rPr>
                <w:sz w:val="16"/>
                <w:szCs w:val="16"/>
              </w:rPr>
              <w:t>LINK</w:t>
            </w:r>
          </w:p>
        </w:tc>
      </w:tr>
      <w:tr w:rsidR="00DD2A1D" w:rsidRPr="00E37A96" w14:paraId="3532F96B" w14:textId="77777777" w:rsidTr="7EA0B018">
        <w:trPr>
          <w:tblHeader/>
        </w:trPr>
        <w:tc>
          <w:tcPr>
            <w:tcW w:w="3113" w:type="dxa"/>
            <w:shd w:val="clear" w:color="auto" w:fill="D9D9D9" w:themeFill="background1" w:themeFillShade="D9"/>
          </w:tcPr>
          <w:p w14:paraId="46F96829" w14:textId="77777777" w:rsidR="00DD2A1D" w:rsidRPr="003907AC" w:rsidRDefault="00DD2A1D" w:rsidP="00DD2A1D">
            <w:pPr>
              <w:spacing w:beforeLines="40" w:before="96" w:afterLines="40" w:after="96"/>
              <w:rPr>
                <w:sz w:val="16"/>
                <w:szCs w:val="16"/>
              </w:rPr>
            </w:pPr>
            <w:r w:rsidRPr="00577FFB">
              <w:rPr>
                <w:sz w:val="16"/>
                <w:szCs w:val="16"/>
              </w:rPr>
              <w:t>Assistance for power dependent people during power outage emergencies SOP v2.4</w:t>
            </w:r>
          </w:p>
        </w:tc>
        <w:tc>
          <w:tcPr>
            <w:tcW w:w="5760" w:type="dxa"/>
            <w:shd w:val="clear" w:color="auto" w:fill="D9D9D9" w:themeFill="background1" w:themeFillShade="D9"/>
          </w:tcPr>
          <w:p w14:paraId="691DBEF0" w14:textId="77777777" w:rsidR="00DD2A1D" w:rsidRPr="003907AC" w:rsidRDefault="00DD2A1D" w:rsidP="00DD2A1D">
            <w:pPr>
              <w:spacing w:beforeLines="40" w:before="96" w:afterLines="40" w:after="96"/>
              <w:rPr>
                <w:sz w:val="16"/>
                <w:szCs w:val="16"/>
              </w:rPr>
            </w:pPr>
            <w:r>
              <w:rPr>
                <w:sz w:val="16"/>
                <w:szCs w:val="16"/>
              </w:rPr>
              <w:t>Department of Health</w:t>
            </w:r>
          </w:p>
        </w:tc>
      </w:tr>
      <w:tr w:rsidR="00DD2A1D" w:rsidRPr="003907AC" w14:paraId="10C1B3CF" w14:textId="77777777" w:rsidTr="7EA0B018">
        <w:tc>
          <w:tcPr>
            <w:tcW w:w="3113" w:type="dxa"/>
            <w:shd w:val="clear" w:color="auto" w:fill="D9D9D9" w:themeFill="background1" w:themeFillShade="D9"/>
          </w:tcPr>
          <w:p w14:paraId="7F975DDA" w14:textId="77179D71" w:rsidR="00DD2A1D" w:rsidRPr="003907AC" w:rsidRDefault="00DD2A1D" w:rsidP="00DD2A1D">
            <w:pPr>
              <w:spacing w:beforeLines="40" w:before="96" w:afterLines="40" w:after="96"/>
              <w:rPr>
                <w:sz w:val="16"/>
                <w:szCs w:val="16"/>
              </w:rPr>
            </w:pPr>
            <w:r w:rsidRPr="003907AC">
              <w:rPr>
                <w:sz w:val="16"/>
                <w:szCs w:val="16"/>
              </w:rPr>
              <w:t xml:space="preserve">Critical Infrastructure All Sectors Resilience </w:t>
            </w:r>
            <w:r w:rsidR="3CC01280" w:rsidRPr="32CC0482">
              <w:rPr>
                <w:sz w:val="16"/>
                <w:szCs w:val="16"/>
              </w:rPr>
              <w:t xml:space="preserve">Annual </w:t>
            </w:r>
            <w:r w:rsidRPr="003907AC">
              <w:rPr>
                <w:sz w:val="16"/>
                <w:szCs w:val="16"/>
              </w:rPr>
              <w:t>Report (2020)</w:t>
            </w:r>
          </w:p>
        </w:tc>
        <w:tc>
          <w:tcPr>
            <w:tcW w:w="5760" w:type="dxa"/>
            <w:shd w:val="clear" w:color="auto" w:fill="D9D9D9" w:themeFill="background1" w:themeFillShade="D9"/>
          </w:tcPr>
          <w:p w14:paraId="6CF8682F" w14:textId="35678F84" w:rsidR="00DD2A1D" w:rsidRPr="003907AC" w:rsidRDefault="00B21C7F" w:rsidP="00DD2A1D">
            <w:pPr>
              <w:pStyle w:val="Tabletext"/>
              <w:spacing w:beforeLines="40" w:before="96" w:afterLines="40" w:after="96"/>
              <w:rPr>
                <w:sz w:val="16"/>
                <w:szCs w:val="16"/>
              </w:rPr>
            </w:pPr>
            <w:hyperlink r:id="rId37">
              <w:r w:rsidR="00DD2A1D" w:rsidRPr="32CC0482">
                <w:rPr>
                  <w:rStyle w:val="Hyperlink"/>
                  <w:sz w:val="16"/>
                  <w:szCs w:val="16"/>
                </w:rPr>
                <w:t>Critical Infrastructure Resilience | Emergency Management Victoria (emv.vic.gov.au)</w:t>
              </w:r>
            </w:hyperlink>
          </w:p>
        </w:tc>
      </w:tr>
      <w:tr w:rsidR="00DD2A1D" w:rsidRPr="003907AC" w14:paraId="139DA8DE" w14:textId="77777777" w:rsidTr="7EA0B018">
        <w:tc>
          <w:tcPr>
            <w:tcW w:w="3113" w:type="dxa"/>
            <w:shd w:val="clear" w:color="auto" w:fill="D9D9D9" w:themeFill="background1" w:themeFillShade="D9"/>
          </w:tcPr>
          <w:p w14:paraId="721BD2DB" w14:textId="77777777" w:rsidR="00DD2A1D" w:rsidRPr="003907AC" w:rsidRDefault="00DD2A1D" w:rsidP="00DD2A1D">
            <w:pPr>
              <w:spacing w:beforeLines="40" w:before="96" w:afterLines="40" w:after="96"/>
              <w:rPr>
                <w:sz w:val="16"/>
                <w:szCs w:val="16"/>
              </w:rPr>
            </w:pPr>
            <w:r w:rsidRPr="003907AC">
              <w:rPr>
                <w:sz w:val="16"/>
                <w:szCs w:val="16"/>
              </w:rPr>
              <w:t>Electricity Distribution Code 2021</w:t>
            </w:r>
          </w:p>
        </w:tc>
        <w:tc>
          <w:tcPr>
            <w:tcW w:w="5760" w:type="dxa"/>
            <w:shd w:val="clear" w:color="auto" w:fill="D9D9D9" w:themeFill="background1" w:themeFillShade="D9"/>
          </w:tcPr>
          <w:p w14:paraId="3075006A" w14:textId="60F98295" w:rsidR="00DD2A1D" w:rsidRPr="003907AC" w:rsidRDefault="00B21C7F" w:rsidP="00DD2A1D">
            <w:pPr>
              <w:pStyle w:val="Tabletext"/>
              <w:spacing w:beforeLines="40" w:before="96" w:afterLines="40" w:after="96"/>
              <w:rPr>
                <w:sz w:val="16"/>
                <w:szCs w:val="16"/>
              </w:rPr>
            </w:pPr>
            <w:hyperlink r:id="rId38">
              <w:r w:rsidR="00DD2A1D" w:rsidRPr="32CC0482">
                <w:rPr>
                  <w:rStyle w:val="Hyperlink"/>
                  <w:sz w:val="16"/>
                  <w:szCs w:val="16"/>
                </w:rPr>
                <w:t>Electricity Distribution Code | Essential Services Commission</w:t>
              </w:r>
            </w:hyperlink>
          </w:p>
        </w:tc>
      </w:tr>
      <w:tr w:rsidR="00DD2A1D" w:rsidRPr="003907AC" w14:paraId="0340FCA0" w14:textId="77777777" w:rsidTr="7EA0B018">
        <w:tc>
          <w:tcPr>
            <w:tcW w:w="3113" w:type="dxa"/>
            <w:shd w:val="clear" w:color="auto" w:fill="D9D9D9" w:themeFill="background1" w:themeFillShade="D9"/>
          </w:tcPr>
          <w:p w14:paraId="226415A1" w14:textId="77777777" w:rsidR="00DD2A1D" w:rsidRPr="003907AC" w:rsidRDefault="00DD2A1D" w:rsidP="00DD2A1D">
            <w:pPr>
              <w:spacing w:beforeLines="40" w:before="96" w:afterLines="40" w:after="96"/>
              <w:rPr>
                <w:sz w:val="16"/>
                <w:szCs w:val="16"/>
              </w:rPr>
            </w:pPr>
            <w:r w:rsidRPr="003907AC">
              <w:rPr>
                <w:sz w:val="16"/>
                <w:szCs w:val="16"/>
              </w:rPr>
              <w:t>Electricity Safety (Bushfire Mitigation) Regulations 2013</w:t>
            </w:r>
          </w:p>
        </w:tc>
        <w:tc>
          <w:tcPr>
            <w:tcW w:w="5760" w:type="dxa"/>
            <w:shd w:val="clear" w:color="auto" w:fill="D9D9D9" w:themeFill="background1" w:themeFillShade="D9"/>
          </w:tcPr>
          <w:p w14:paraId="749E982D" w14:textId="5F1380D8" w:rsidR="00DD2A1D" w:rsidRPr="003907AC" w:rsidRDefault="00B21C7F" w:rsidP="00DD2A1D">
            <w:pPr>
              <w:pStyle w:val="Tabletext"/>
              <w:spacing w:beforeLines="40" w:before="96" w:afterLines="40" w:after="96"/>
              <w:rPr>
                <w:sz w:val="16"/>
                <w:szCs w:val="16"/>
              </w:rPr>
            </w:pPr>
            <w:hyperlink r:id="rId39">
              <w:r w:rsidR="00DD2A1D" w:rsidRPr="32CC0482">
                <w:rPr>
                  <w:rStyle w:val="Hyperlink"/>
                  <w:sz w:val="16"/>
                  <w:szCs w:val="16"/>
                </w:rPr>
                <w:t>Electricity Safety (Bushfire Mitigation) Regulations 2013 (legislation.vic.gov.au)</w:t>
              </w:r>
            </w:hyperlink>
          </w:p>
        </w:tc>
      </w:tr>
      <w:tr w:rsidR="00DD2A1D" w:rsidRPr="003907AC" w14:paraId="046CABDC" w14:textId="77777777" w:rsidTr="7EA0B018">
        <w:tc>
          <w:tcPr>
            <w:tcW w:w="3113" w:type="dxa"/>
            <w:shd w:val="clear" w:color="auto" w:fill="D9D9D9" w:themeFill="background1" w:themeFillShade="D9"/>
          </w:tcPr>
          <w:p w14:paraId="6F28266B" w14:textId="77777777" w:rsidR="00DD2A1D" w:rsidRPr="003907AC" w:rsidRDefault="00DD2A1D" w:rsidP="00DD2A1D">
            <w:pPr>
              <w:spacing w:beforeLines="40" w:before="96" w:afterLines="40" w:after="96"/>
              <w:rPr>
                <w:sz w:val="16"/>
                <w:szCs w:val="16"/>
              </w:rPr>
            </w:pPr>
            <w:r w:rsidRPr="003907AC">
              <w:rPr>
                <w:sz w:val="16"/>
                <w:szCs w:val="16"/>
              </w:rPr>
              <w:t>Electricity Safety (Electric Line Clearance) Regulations 2020</w:t>
            </w:r>
          </w:p>
        </w:tc>
        <w:tc>
          <w:tcPr>
            <w:tcW w:w="5760" w:type="dxa"/>
            <w:shd w:val="clear" w:color="auto" w:fill="D9D9D9" w:themeFill="background1" w:themeFillShade="D9"/>
          </w:tcPr>
          <w:p w14:paraId="7256BBB9" w14:textId="0A42BBD5" w:rsidR="00DD2A1D" w:rsidRPr="003907AC" w:rsidRDefault="00B21C7F" w:rsidP="00DD2A1D">
            <w:pPr>
              <w:pStyle w:val="Tabletext"/>
              <w:spacing w:beforeLines="40" w:before="96" w:afterLines="40" w:after="96"/>
              <w:rPr>
                <w:sz w:val="16"/>
                <w:szCs w:val="16"/>
              </w:rPr>
            </w:pPr>
            <w:hyperlink r:id="rId40">
              <w:r w:rsidR="00DD2A1D" w:rsidRPr="32CC0482">
                <w:rPr>
                  <w:rStyle w:val="Hyperlink"/>
                  <w:sz w:val="16"/>
                  <w:szCs w:val="16"/>
                </w:rPr>
                <w:t>Electricity Safety (Electric Line Clearance) Regulations 2020 (legislation.vic.gov.au)</w:t>
              </w:r>
            </w:hyperlink>
          </w:p>
        </w:tc>
      </w:tr>
      <w:tr w:rsidR="00DD2A1D" w:rsidRPr="003907AC" w14:paraId="106660DF" w14:textId="77777777" w:rsidTr="7EA0B018">
        <w:tc>
          <w:tcPr>
            <w:tcW w:w="3113" w:type="dxa"/>
            <w:shd w:val="clear" w:color="auto" w:fill="D9D9D9" w:themeFill="background1" w:themeFillShade="D9"/>
          </w:tcPr>
          <w:p w14:paraId="5809CFF1" w14:textId="77777777" w:rsidR="00DD2A1D" w:rsidRPr="003907AC" w:rsidRDefault="00DD2A1D" w:rsidP="00DD2A1D">
            <w:pPr>
              <w:spacing w:beforeLines="40" w:before="96" w:afterLines="40" w:after="96"/>
              <w:rPr>
                <w:sz w:val="16"/>
                <w:szCs w:val="16"/>
              </w:rPr>
            </w:pPr>
            <w:r w:rsidRPr="003907AC">
              <w:rPr>
                <w:sz w:val="16"/>
                <w:szCs w:val="16"/>
              </w:rPr>
              <w:t>Electricity Safety Act 1998</w:t>
            </w:r>
          </w:p>
        </w:tc>
        <w:tc>
          <w:tcPr>
            <w:tcW w:w="5760" w:type="dxa"/>
            <w:shd w:val="clear" w:color="auto" w:fill="D9D9D9" w:themeFill="background1" w:themeFillShade="D9"/>
          </w:tcPr>
          <w:p w14:paraId="0B7B3329" w14:textId="3D2C9A4B" w:rsidR="00DD2A1D" w:rsidRPr="003907AC" w:rsidRDefault="00B21C7F" w:rsidP="00DD2A1D">
            <w:pPr>
              <w:pStyle w:val="Tabletext"/>
              <w:spacing w:beforeLines="40" w:before="96" w:afterLines="40" w:after="96"/>
              <w:rPr>
                <w:sz w:val="16"/>
                <w:szCs w:val="16"/>
              </w:rPr>
            </w:pPr>
            <w:hyperlink r:id="rId41">
              <w:r w:rsidR="00DD2A1D" w:rsidRPr="32CC0482">
                <w:rPr>
                  <w:rStyle w:val="Hyperlink"/>
                  <w:sz w:val="16"/>
                  <w:szCs w:val="16"/>
                </w:rPr>
                <w:t>Electricity Safety Act 1998 (legislation.vic.gov.au)</w:t>
              </w:r>
            </w:hyperlink>
          </w:p>
        </w:tc>
      </w:tr>
      <w:tr w:rsidR="00DD2A1D" w:rsidRPr="003907AC" w14:paraId="73F29482" w14:textId="77777777" w:rsidTr="7EA0B018">
        <w:tc>
          <w:tcPr>
            <w:tcW w:w="3113" w:type="dxa"/>
            <w:shd w:val="clear" w:color="auto" w:fill="D9D9D9" w:themeFill="background1" w:themeFillShade="D9"/>
          </w:tcPr>
          <w:p w14:paraId="429F0E99" w14:textId="77777777" w:rsidR="00DD2A1D" w:rsidRPr="003907AC" w:rsidRDefault="00DD2A1D" w:rsidP="00DD2A1D">
            <w:pPr>
              <w:spacing w:beforeLines="40" w:before="96" w:afterLines="40" w:after="96"/>
              <w:rPr>
                <w:sz w:val="16"/>
                <w:szCs w:val="16"/>
              </w:rPr>
            </w:pPr>
            <w:r w:rsidRPr="003907AC">
              <w:rPr>
                <w:sz w:val="16"/>
                <w:szCs w:val="16"/>
              </w:rPr>
              <w:t>Electricity Statement of Opportunities</w:t>
            </w:r>
          </w:p>
        </w:tc>
        <w:tc>
          <w:tcPr>
            <w:tcW w:w="5760" w:type="dxa"/>
            <w:shd w:val="clear" w:color="auto" w:fill="D9D9D9" w:themeFill="background1" w:themeFillShade="D9"/>
          </w:tcPr>
          <w:p w14:paraId="6AFFD746" w14:textId="732806C2" w:rsidR="00DD2A1D" w:rsidRPr="003907AC" w:rsidRDefault="00B21C7F" w:rsidP="00DD2A1D">
            <w:pPr>
              <w:pStyle w:val="Tabletext"/>
              <w:spacing w:beforeLines="40" w:before="96" w:afterLines="40" w:after="96"/>
              <w:rPr>
                <w:sz w:val="16"/>
                <w:szCs w:val="16"/>
              </w:rPr>
            </w:pPr>
            <w:hyperlink r:id="rId42">
              <w:r w:rsidR="00DD2A1D" w:rsidRPr="32CC0482">
                <w:rPr>
                  <w:rStyle w:val="Hyperlink"/>
                  <w:sz w:val="16"/>
                  <w:szCs w:val="16"/>
                </w:rPr>
                <w:t>AEMO | NEM Electricity Statement of Opportunities (ESOO)</w:t>
              </w:r>
            </w:hyperlink>
          </w:p>
        </w:tc>
      </w:tr>
      <w:tr w:rsidR="32CC0482" w14:paraId="49BCAEAA" w14:textId="77777777" w:rsidTr="7EA0B018">
        <w:tc>
          <w:tcPr>
            <w:tcW w:w="3113" w:type="dxa"/>
            <w:shd w:val="clear" w:color="auto" w:fill="D9D9D9" w:themeFill="background1" w:themeFillShade="D9"/>
          </w:tcPr>
          <w:p w14:paraId="428054F1" w14:textId="35182328" w:rsidR="2798BF7E" w:rsidRPr="00AA55C0" w:rsidRDefault="2798BF7E" w:rsidP="00AA55C0">
            <w:pPr>
              <w:spacing w:beforeLines="40" w:before="96" w:afterLines="40" w:after="96"/>
              <w:rPr>
                <w:i/>
                <w:sz w:val="16"/>
                <w:szCs w:val="16"/>
              </w:rPr>
            </w:pPr>
            <w:r w:rsidRPr="00AA55C0">
              <w:rPr>
                <w:rFonts w:eastAsiaTheme="minorHAnsi"/>
                <w:i/>
                <w:sz w:val="16"/>
                <w:szCs w:val="16"/>
                <w:lang w:eastAsia="en-US"/>
              </w:rPr>
              <w:t>Emergency Management Act 2013</w:t>
            </w:r>
          </w:p>
        </w:tc>
        <w:tc>
          <w:tcPr>
            <w:tcW w:w="5760" w:type="dxa"/>
            <w:shd w:val="clear" w:color="auto" w:fill="D9D9D9" w:themeFill="background1" w:themeFillShade="D9"/>
          </w:tcPr>
          <w:p w14:paraId="6B6ED053" w14:textId="637BDA9F" w:rsidR="4BE8CAA9" w:rsidRPr="00AA55C0" w:rsidRDefault="00B21C7F" w:rsidP="00AA55C0">
            <w:pPr>
              <w:pStyle w:val="Tabletext"/>
              <w:spacing w:beforeLines="40" w:before="96" w:afterLines="40" w:after="96"/>
              <w:rPr>
                <w:rStyle w:val="Hyperlink"/>
              </w:rPr>
            </w:pPr>
            <w:hyperlink r:id="rId43" w:history="1">
              <w:r w:rsidR="4BE8CAA9" w:rsidRPr="00AA55C0">
                <w:rPr>
                  <w:rStyle w:val="Hyperlink"/>
                  <w:sz w:val="16"/>
                  <w:szCs w:val="16"/>
                </w:rPr>
                <w:t>Emergency Management Act 2013</w:t>
              </w:r>
            </w:hyperlink>
          </w:p>
        </w:tc>
      </w:tr>
      <w:tr w:rsidR="00DD2A1D" w:rsidRPr="003907AC" w14:paraId="514C6B7B" w14:textId="77777777" w:rsidTr="7EA0B018">
        <w:tc>
          <w:tcPr>
            <w:tcW w:w="3113" w:type="dxa"/>
            <w:shd w:val="clear" w:color="auto" w:fill="D9D9D9" w:themeFill="background1" w:themeFillShade="D9"/>
          </w:tcPr>
          <w:p w14:paraId="3C3837A3" w14:textId="77777777" w:rsidR="00DD2A1D" w:rsidRPr="003907AC" w:rsidRDefault="00DD2A1D" w:rsidP="00DD2A1D">
            <w:pPr>
              <w:spacing w:beforeLines="40" w:before="96" w:afterLines="40" w:after="96"/>
              <w:rPr>
                <w:i/>
                <w:iCs/>
                <w:sz w:val="16"/>
                <w:szCs w:val="16"/>
              </w:rPr>
            </w:pPr>
            <w:r w:rsidRPr="003907AC">
              <w:rPr>
                <w:rFonts w:eastAsiaTheme="minorHAnsi"/>
                <w:i/>
                <w:iCs/>
                <w:sz w:val="16"/>
                <w:szCs w:val="16"/>
                <w:lang w:eastAsia="en-US"/>
              </w:rPr>
              <w:t>Environment Protection Act 2017</w:t>
            </w:r>
          </w:p>
        </w:tc>
        <w:tc>
          <w:tcPr>
            <w:tcW w:w="5760" w:type="dxa"/>
            <w:shd w:val="clear" w:color="auto" w:fill="D9D9D9" w:themeFill="background1" w:themeFillShade="D9"/>
          </w:tcPr>
          <w:p w14:paraId="53BB3E28" w14:textId="619846AC" w:rsidR="00DD2A1D" w:rsidRPr="003907AC" w:rsidRDefault="00B21C7F" w:rsidP="00DD2A1D">
            <w:pPr>
              <w:pStyle w:val="Tabletext"/>
              <w:spacing w:beforeLines="40" w:before="96" w:afterLines="40" w:after="96"/>
              <w:rPr>
                <w:sz w:val="16"/>
                <w:szCs w:val="16"/>
              </w:rPr>
            </w:pPr>
            <w:hyperlink r:id="rId44">
              <w:r w:rsidR="00DD2A1D" w:rsidRPr="32CC0482">
                <w:rPr>
                  <w:rStyle w:val="Hyperlink"/>
                  <w:sz w:val="16"/>
                  <w:szCs w:val="16"/>
                </w:rPr>
                <w:t>Environment Protection Act 2017 (legislation.vic.gov.au)</w:t>
              </w:r>
            </w:hyperlink>
          </w:p>
        </w:tc>
      </w:tr>
      <w:tr w:rsidR="00DD2A1D" w:rsidRPr="003907AC" w14:paraId="13DD1EF1" w14:textId="77777777" w:rsidTr="7EA0B018">
        <w:tc>
          <w:tcPr>
            <w:tcW w:w="3113" w:type="dxa"/>
            <w:shd w:val="clear" w:color="auto" w:fill="D9D9D9" w:themeFill="background1" w:themeFillShade="D9"/>
          </w:tcPr>
          <w:p w14:paraId="7BC43D8C" w14:textId="77777777" w:rsidR="00DD2A1D" w:rsidRPr="003907AC" w:rsidRDefault="00DD2A1D" w:rsidP="00DD2A1D">
            <w:pPr>
              <w:spacing w:beforeLines="40" w:before="96" w:afterLines="40" w:after="96"/>
              <w:rPr>
                <w:i/>
                <w:iCs/>
                <w:sz w:val="16"/>
                <w:szCs w:val="16"/>
              </w:rPr>
            </w:pPr>
            <w:r w:rsidRPr="003907AC">
              <w:rPr>
                <w:i/>
                <w:iCs/>
                <w:sz w:val="16"/>
                <w:szCs w:val="16"/>
              </w:rPr>
              <w:t>Fuel Emergency Act 1977</w:t>
            </w:r>
          </w:p>
        </w:tc>
        <w:tc>
          <w:tcPr>
            <w:tcW w:w="5760" w:type="dxa"/>
            <w:shd w:val="clear" w:color="auto" w:fill="D9D9D9" w:themeFill="background1" w:themeFillShade="D9"/>
          </w:tcPr>
          <w:p w14:paraId="327A2B55" w14:textId="29DC1A9D" w:rsidR="00DD2A1D" w:rsidRPr="003907AC" w:rsidRDefault="00B21C7F" w:rsidP="00DD2A1D">
            <w:pPr>
              <w:pStyle w:val="Tabletext"/>
              <w:spacing w:beforeLines="40" w:before="96" w:afterLines="40" w:after="96"/>
              <w:rPr>
                <w:sz w:val="16"/>
                <w:szCs w:val="16"/>
              </w:rPr>
            </w:pPr>
            <w:hyperlink r:id="rId45">
              <w:r w:rsidR="00DD2A1D" w:rsidRPr="32CC0482">
                <w:rPr>
                  <w:rStyle w:val="Hyperlink"/>
                  <w:sz w:val="16"/>
                  <w:szCs w:val="16"/>
                </w:rPr>
                <w:t>Fuel Emergency Act 1977 (legislation.vic.gov.au)</w:t>
              </w:r>
            </w:hyperlink>
          </w:p>
        </w:tc>
      </w:tr>
      <w:tr w:rsidR="00DD2A1D" w:rsidRPr="003907AC" w14:paraId="077FCA8F" w14:textId="77777777" w:rsidTr="7EA0B018">
        <w:tc>
          <w:tcPr>
            <w:tcW w:w="3113" w:type="dxa"/>
            <w:shd w:val="clear" w:color="auto" w:fill="D9D9D9" w:themeFill="background1" w:themeFillShade="D9"/>
          </w:tcPr>
          <w:p w14:paraId="24F8CCD5" w14:textId="77777777" w:rsidR="00DD2A1D" w:rsidRPr="003907AC" w:rsidRDefault="00DD2A1D" w:rsidP="00DD2A1D">
            <w:pPr>
              <w:spacing w:beforeLines="40" w:before="96" w:afterLines="40" w:after="96"/>
              <w:rPr>
                <w:i/>
                <w:iCs/>
                <w:sz w:val="16"/>
                <w:szCs w:val="16"/>
              </w:rPr>
            </w:pPr>
            <w:r w:rsidRPr="003907AC">
              <w:rPr>
                <w:i/>
                <w:iCs/>
                <w:sz w:val="16"/>
                <w:szCs w:val="16"/>
              </w:rPr>
              <w:t>Gas Industry Act 2001</w:t>
            </w:r>
          </w:p>
        </w:tc>
        <w:tc>
          <w:tcPr>
            <w:tcW w:w="5760" w:type="dxa"/>
            <w:shd w:val="clear" w:color="auto" w:fill="D9D9D9" w:themeFill="background1" w:themeFillShade="D9"/>
          </w:tcPr>
          <w:p w14:paraId="77D6D394" w14:textId="7BF5C29D" w:rsidR="00DD2A1D" w:rsidRPr="003907AC" w:rsidRDefault="00B21C7F" w:rsidP="00DD2A1D">
            <w:pPr>
              <w:pStyle w:val="Tabletext"/>
              <w:spacing w:beforeLines="40" w:before="96" w:afterLines="40" w:after="96"/>
              <w:rPr>
                <w:sz w:val="16"/>
                <w:szCs w:val="16"/>
              </w:rPr>
            </w:pPr>
            <w:hyperlink r:id="rId46">
              <w:r w:rsidR="00DD2A1D" w:rsidRPr="32CC0482">
                <w:rPr>
                  <w:rStyle w:val="Hyperlink"/>
                  <w:sz w:val="16"/>
                  <w:szCs w:val="16"/>
                </w:rPr>
                <w:t>Gas Industry Act 2001 (legislation.vic.gov.au)</w:t>
              </w:r>
            </w:hyperlink>
          </w:p>
        </w:tc>
      </w:tr>
      <w:tr w:rsidR="00DD2A1D" w:rsidRPr="003907AC" w14:paraId="233268E3" w14:textId="77777777" w:rsidTr="7EA0B018">
        <w:tc>
          <w:tcPr>
            <w:tcW w:w="3113" w:type="dxa"/>
            <w:shd w:val="clear" w:color="auto" w:fill="D9D9D9" w:themeFill="background1" w:themeFillShade="D9"/>
          </w:tcPr>
          <w:p w14:paraId="700C04F3" w14:textId="77777777" w:rsidR="00DD2A1D" w:rsidRPr="003907AC" w:rsidRDefault="00DD2A1D" w:rsidP="00DD2A1D">
            <w:pPr>
              <w:spacing w:beforeLines="40" w:before="96" w:afterLines="40" w:after="96"/>
              <w:rPr>
                <w:i/>
                <w:iCs/>
                <w:sz w:val="16"/>
                <w:szCs w:val="16"/>
              </w:rPr>
            </w:pPr>
            <w:r w:rsidRPr="003907AC">
              <w:rPr>
                <w:i/>
                <w:iCs/>
                <w:sz w:val="16"/>
                <w:szCs w:val="16"/>
              </w:rPr>
              <w:t>Gas Safety Act 1997</w:t>
            </w:r>
          </w:p>
        </w:tc>
        <w:tc>
          <w:tcPr>
            <w:tcW w:w="5760" w:type="dxa"/>
            <w:shd w:val="clear" w:color="auto" w:fill="D9D9D9" w:themeFill="background1" w:themeFillShade="D9"/>
          </w:tcPr>
          <w:p w14:paraId="1826CA7A" w14:textId="61F6BC8C" w:rsidR="00DD2A1D" w:rsidRPr="003907AC" w:rsidRDefault="00B21C7F" w:rsidP="00DD2A1D">
            <w:pPr>
              <w:pStyle w:val="Tabletext"/>
              <w:spacing w:beforeLines="40" w:before="96" w:afterLines="40" w:after="96"/>
              <w:rPr>
                <w:sz w:val="16"/>
                <w:szCs w:val="16"/>
              </w:rPr>
            </w:pPr>
            <w:hyperlink r:id="rId47">
              <w:r w:rsidR="00DD2A1D" w:rsidRPr="32CC0482">
                <w:rPr>
                  <w:rStyle w:val="Hyperlink"/>
                  <w:sz w:val="16"/>
                  <w:szCs w:val="16"/>
                </w:rPr>
                <w:t>Gas Safety Act 1997 (legislation.vic.gov.au)</w:t>
              </w:r>
            </w:hyperlink>
          </w:p>
        </w:tc>
      </w:tr>
      <w:tr w:rsidR="00DD2A1D" w:rsidRPr="003907AC" w14:paraId="26B2CE99" w14:textId="77777777" w:rsidTr="7EA0B018">
        <w:tc>
          <w:tcPr>
            <w:tcW w:w="3113" w:type="dxa"/>
            <w:shd w:val="clear" w:color="auto" w:fill="D9D9D9" w:themeFill="background1" w:themeFillShade="D9"/>
          </w:tcPr>
          <w:p w14:paraId="5FEE99A4" w14:textId="77777777" w:rsidR="00DD2A1D" w:rsidRPr="003907AC" w:rsidRDefault="00DD2A1D" w:rsidP="00DD2A1D">
            <w:pPr>
              <w:spacing w:beforeLines="40" w:before="96" w:afterLines="40" w:after="96"/>
              <w:rPr>
                <w:sz w:val="16"/>
                <w:szCs w:val="16"/>
              </w:rPr>
            </w:pPr>
            <w:r w:rsidRPr="003907AC">
              <w:rPr>
                <w:sz w:val="16"/>
                <w:szCs w:val="16"/>
              </w:rPr>
              <w:t>Liquid Fuel Emergency (Activities—Essential Users) Determination 2019</w:t>
            </w:r>
          </w:p>
        </w:tc>
        <w:tc>
          <w:tcPr>
            <w:tcW w:w="5760" w:type="dxa"/>
            <w:shd w:val="clear" w:color="auto" w:fill="D9D9D9" w:themeFill="background1" w:themeFillShade="D9"/>
          </w:tcPr>
          <w:p w14:paraId="5F8905DD" w14:textId="51AC3DD8" w:rsidR="00DD2A1D" w:rsidRPr="003907AC" w:rsidRDefault="00B21C7F" w:rsidP="00DD2A1D">
            <w:pPr>
              <w:pStyle w:val="Tabletext"/>
              <w:spacing w:beforeLines="40" w:before="96" w:afterLines="40" w:after="96"/>
              <w:rPr>
                <w:sz w:val="16"/>
                <w:szCs w:val="16"/>
              </w:rPr>
            </w:pPr>
            <w:hyperlink r:id="rId48">
              <w:r w:rsidR="00DD2A1D" w:rsidRPr="00AA55C0">
                <w:rPr>
                  <w:rStyle w:val="Hyperlink"/>
                  <w:sz w:val="16"/>
                  <w:szCs w:val="16"/>
                </w:rPr>
                <w:t>Liquid Fuel Emergency (Activities—Essential Users) Determination 2019</w:t>
              </w:r>
            </w:hyperlink>
            <w:r w:rsidR="00DD2A1D" w:rsidRPr="00AA55C0">
              <w:rPr>
                <w:sz w:val="16"/>
                <w:szCs w:val="16"/>
              </w:rPr>
              <w:t xml:space="preserve"> </w:t>
            </w:r>
          </w:p>
        </w:tc>
      </w:tr>
      <w:tr w:rsidR="00DD2A1D" w:rsidRPr="003907AC" w14:paraId="7AEF0806" w14:textId="77777777" w:rsidTr="7EA0B018">
        <w:tc>
          <w:tcPr>
            <w:tcW w:w="3113" w:type="dxa"/>
            <w:shd w:val="clear" w:color="auto" w:fill="D9D9D9" w:themeFill="background1" w:themeFillShade="D9"/>
          </w:tcPr>
          <w:p w14:paraId="34AC78DB" w14:textId="77777777" w:rsidR="00DD2A1D" w:rsidRPr="003907AC" w:rsidRDefault="00DD2A1D" w:rsidP="00DD2A1D">
            <w:pPr>
              <w:pStyle w:val="Tabletext"/>
              <w:spacing w:beforeLines="40" w:before="96" w:afterLines="40" w:after="96"/>
              <w:rPr>
                <w:b/>
                <w:bCs/>
                <w:i/>
                <w:iCs/>
                <w:sz w:val="16"/>
                <w:szCs w:val="16"/>
              </w:rPr>
            </w:pPr>
            <w:r w:rsidRPr="003907AC">
              <w:rPr>
                <w:i/>
                <w:iCs/>
                <w:sz w:val="16"/>
                <w:szCs w:val="16"/>
              </w:rPr>
              <w:t>Liquid Fuel Emergency Act 1984 (</w:t>
            </w:r>
            <w:proofErr w:type="spellStart"/>
            <w:r w:rsidRPr="003907AC">
              <w:rPr>
                <w:i/>
                <w:iCs/>
                <w:sz w:val="16"/>
                <w:szCs w:val="16"/>
              </w:rPr>
              <w:t>Cth</w:t>
            </w:r>
            <w:proofErr w:type="spellEnd"/>
            <w:r w:rsidRPr="003907AC">
              <w:rPr>
                <w:i/>
                <w:iCs/>
                <w:sz w:val="16"/>
                <w:szCs w:val="16"/>
              </w:rPr>
              <w:t>)</w:t>
            </w:r>
          </w:p>
        </w:tc>
        <w:tc>
          <w:tcPr>
            <w:tcW w:w="5760" w:type="dxa"/>
            <w:shd w:val="clear" w:color="auto" w:fill="D9D9D9" w:themeFill="background1" w:themeFillShade="D9"/>
          </w:tcPr>
          <w:p w14:paraId="57A54904" w14:textId="57CD7264" w:rsidR="00DD2A1D" w:rsidRPr="003907AC" w:rsidRDefault="00B21C7F" w:rsidP="00DD2A1D">
            <w:pPr>
              <w:pStyle w:val="Tabletext"/>
              <w:spacing w:beforeLines="40" w:before="96" w:afterLines="40" w:after="96"/>
              <w:rPr>
                <w:sz w:val="16"/>
                <w:szCs w:val="16"/>
              </w:rPr>
            </w:pPr>
            <w:hyperlink r:id="rId49">
              <w:r w:rsidR="00DD2A1D" w:rsidRPr="32CC0482">
                <w:rPr>
                  <w:rStyle w:val="Hyperlink"/>
                  <w:sz w:val="16"/>
                  <w:szCs w:val="16"/>
                </w:rPr>
                <w:t>Liquid Fuel Emergency Act 1984 (legislation.gov.au)</w:t>
              </w:r>
            </w:hyperlink>
          </w:p>
        </w:tc>
      </w:tr>
      <w:tr w:rsidR="00DD2A1D" w:rsidRPr="003907AC" w14:paraId="4D3D77A5" w14:textId="77777777" w:rsidTr="7EA0B018">
        <w:tc>
          <w:tcPr>
            <w:tcW w:w="3113" w:type="dxa"/>
            <w:shd w:val="clear" w:color="auto" w:fill="D9D9D9" w:themeFill="background1" w:themeFillShade="D9"/>
          </w:tcPr>
          <w:p w14:paraId="3F13CBC3" w14:textId="77777777" w:rsidR="00DD2A1D" w:rsidRPr="003907AC" w:rsidRDefault="00DD2A1D" w:rsidP="00DD2A1D">
            <w:pPr>
              <w:spacing w:beforeLines="40" w:before="96" w:afterLines="40" w:after="96"/>
              <w:rPr>
                <w:sz w:val="16"/>
                <w:szCs w:val="16"/>
              </w:rPr>
            </w:pPr>
            <w:r w:rsidRPr="003907AC">
              <w:rPr>
                <w:sz w:val="16"/>
                <w:szCs w:val="16"/>
              </w:rPr>
              <w:t>National Electricity Law</w:t>
            </w:r>
          </w:p>
        </w:tc>
        <w:tc>
          <w:tcPr>
            <w:tcW w:w="5760" w:type="dxa"/>
            <w:shd w:val="clear" w:color="auto" w:fill="D9D9D9" w:themeFill="background1" w:themeFillShade="D9"/>
          </w:tcPr>
          <w:p w14:paraId="757CBBCC" w14:textId="7FAA47E2" w:rsidR="00DD2A1D" w:rsidRPr="003907AC" w:rsidRDefault="00B21C7F" w:rsidP="00DD2A1D">
            <w:pPr>
              <w:pStyle w:val="Tabletext"/>
              <w:spacing w:beforeLines="40" w:before="96" w:afterLines="40" w:after="96"/>
              <w:rPr>
                <w:sz w:val="16"/>
                <w:szCs w:val="16"/>
              </w:rPr>
            </w:pPr>
            <w:hyperlink r:id="rId50">
              <w:r w:rsidR="00DD2A1D" w:rsidRPr="32CC0482">
                <w:rPr>
                  <w:rStyle w:val="Hyperlink"/>
                  <w:sz w:val="16"/>
                  <w:szCs w:val="16"/>
                </w:rPr>
                <w:t>South Australian Legislation</w:t>
              </w:r>
            </w:hyperlink>
          </w:p>
        </w:tc>
      </w:tr>
      <w:tr w:rsidR="00DD2A1D" w:rsidRPr="003907AC" w14:paraId="6D6FABC9" w14:textId="77777777" w:rsidTr="7EA0B018">
        <w:tc>
          <w:tcPr>
            <w:tcW w:w="3113" w:type="dxa"/>
            <w:shd w:val="clear" w:color="auto" w:fill="D9D9D9" w:themeFill="background1" w:themeFillShade="D9"/>
          </w:tcPr>
          <w:p w14:paraId="4A23DC91" w14:textId="77777777" w:rsidR="00DD2A1D" w:rsidRPr="003907AC" w:rsidRDefault="00DD2A1D" w:rsidP="00DD2A1D">
            <w:pPr>
              <w:spacing w:beforeLines="40" w:before="96" w:afterLines="40" w:after="96"/>
              <w:rPr>
                <w:sz w:val="16"/>
                <w:szCs w:val="16"/>
              </w:rPr>
            </w:pPr>
            <w:r w:rsidRPr="003907AC">
              <w:rPr>
                <w:sz w:val="16"/>
                <w:szCs w:val="16"/>
              </w:rPr>
              <w:t>National Electricity Rules</w:t>
            </w:r>
          </w:p>
        </w:tc>
        <w:tc>
          <w:tcPr>
            <w:tcW w:w="5760" w:type="dxa"/>
            <w:shd w:val="clear" w:color="auto" w:fill="D9D9D9" w:themeFill="background1" w:themeFillShade="D9"/>
          </w:tcPr>
          <w:p w14:paraId="5CD18888" w14:textId="429495F9" w:rsidR="00DD2A1D" w:rsidRPr="003907AC" w:rsidRDefault="00B21C7F" w:rsidP="00DD2A1D">
            <w:pPr>
              <w:pStyle w:val="Tabletext"/>
              <w:spacing w:beforeLines="40" w:before="96" w:afterLines="40" w:after="96"/>
              <w:rPr>
                <w:sz w:val="16"/>
                <w:szCs w:val="16"/>
              </w:rPr>
            </w:pPr>
            <w:hyperlink r:id="rId51">
              <w:r w:rsidR="00DD2A1D" w:rsidRPr="32CC0482">
                <w:rPr>
                  <w:rStyle w:val="Hyperlink"/>
                  <w:sz w:val="16"/>
                  <w:szCs w:val="16"/>
                </w:rPr>
                <w:t>National Electricity Rules | AEMC</w:t>
              </w:r>
            </w:hyperlink>
          </w:p>
        </w:tc>
      </w:tr>
      <w:tr w:rsidR="00DD2A1D" w:rsidRPr="003907AC" w14:paraId="29CD5B06" w14:textId="77777777" w:rsidTr="7EA0B018">
        <w:tc>
          <w:tcPr>
            <w:tcW w:w="3113" w:type="dxa"/>
            <w:shd w:val="clear" w:color="auto" w:fill="D9D9D9" w:themeFill="background1" w:themeFillShade="D9"/>
          </w:tcPr>
          <w:p w14:paraId="701E2AD0" w14:textId="77777777" w:rsidR="00DD2A1D" w:rsidRPr="003907AC" w:rsidRDefault="00DD2A1D" w:rsidP="00DD2A1D">
            <w:pPr>
              <w:spacing w:beforeLines="40" w:before="96" w:afterLines="40" w:after="96"/>
              <w:rPr>
                <w:sz w:val="16"/>
                <w:szCs w:val="16"/>
              </w:rPr>
            </w:pPr>
            <w:r w:rsidRPr="003907AC">
              <w:rPr>
                <w:sz w:val="16"/>
                <w:szCs w:val="16"/>
              </w:rPr>
              <w:t>National Liquid Fuel Emergency Response Protocol</w:t>
            </w:r>
          </w:p>
        </w:tc>
        <w:tc>
          <w:tcPr>
            <w:tcW w:w="5760" w:type="dxa"/>
            <w:shd w:val="clear" w:color="auto" w:fill="D9D9D9" w:themeFill="background1" w:themeFillShade="D9"/>
          </w:tcPr>
          <w:p w14:paraId="505D63E0" w14:textId="594A4873" w:rsidR="00DD2A1D" w:rsidRPr="003907AC" w:rsidRDefault="00B21C7F" w:rsidP="00DD2A1D">
            <w:pPr>
              <w:pStyle w:val="Tabletext"/>
              <w:spacing w:beforeLines="40" w:before="96" w:afterLines="40" w:after="96"/>
              <w:rPr>
                <w:sz w:val="16"/>
                <w:szCs w:val="16"/>
              </w:rPr>
            </w:pPr>
            <w:hyperlink r:id="rId52">
              <w:r w:rsidR="00DD2A1D" w:rsidRPr="32CC0482">
                <w:rPr>
                  <w:rStyle w:val="Hyperlink"/>
                  <w:sz w:val="16"/>
                  <w:szCs w:val="16"/>
                </w:rPr>
                <w:t>National Oil Supplies Emergency Committee (NOSEC) | Australian Institute of Petroleum (aip.com.au)</w:t>
              </w:r>
            </w:hyperlink>
          </w:p>
        </w:tc>
      </w:tr>
      <w:tr w:rsidR="00DD2A1D" w:rsidRPr="003907AC" w14:paraId="66A20B35" w14:textId="77777777" w:rsidTr="7EA0B018">
        <w:tc>
          <w:tcPr>
            <w:tcW w:w="3113" w:type="dxa"/>
            <w:shd w:val="clear" w:color="auto" w:fill="D9D9D9" w:themeFill="background1" w:themeFillShade="D9"/>
          </w:tcPr>
          <w:p w14:paraId="4629B611" w14:textId="77777777" w:rsidR="00DD2A1D" w:rsidRPr="003907AC" w:rsidRDefault="00DD2A1D" w:rsidP="00DD2A1D">
            <w:pPr>
              <w:rPr>
                <w:i/>
                <w:sz w:val="16"/>
                <w:szCs w:val="16"/>
                <w:lang w:eastAsia="en-US"/>
              </w:rPr>
            </w:pPr>
            <w:r w:rsidRPr="003907AC">
              <w:rPr>
                <w:i/>
                <w:iCs/>
                <w:sz w:val="16"/>
                <w:szCs w:val="16"/>
                <w:lang w:eastAsia="en-US"/>
              </w:rPr>
              <w:t>NOSEC Guidance Note Essential Users under the Liquid Fuel Emergency Act 1984</w:t>
            </w:r>
          </w:p>
        </w:tc>
        <w:tc>
          <w:tcPr>
            <w:tcW w:w="5760" w:type="dxa"/>
            <w:shd w:val="clear" w:color="auto" w:fill="D9D9D9" w:themeFill="background1" w:themeFillShade="D9"/>
          </w:tcPr>
          <w:p w14:paraId="493A8F8E" w14:textId="11CA3933" w:rsidR="00DD2A1D" w:rsidRPr="003907AC" w:rsidRDefault="00B21C7F" w:rsidP="00DD2A1D">
            <w:pPr>
              <w:pStyle w:val="Tabletext"/>
              <w:rPr>
                <w:sz w:val="16"/>
                <w:szCs w:val="16"/>
              </w:rPr>
            </w:pPr>
            <w:hyperlink r:id="rId53">
              <w:r w:rsidR="00DD2A1D" w:rsidRPr="003907AC">
                <w:rPr>
                  <w:rStyle w:val="Hyperlink"/>
                  <w:sz w:val="16"/>
                  <w:szCs w:val="16"/>
                </w:rPr>
                <w:t>Guide Note on Essential Users (environment.gov.au)</w:t>
              </w:r>
            </w:hyperlink>
          </w:p>
        </w:tc>
      </w:tr>
      <w:tr w:rsidR="00DD2A1D" w:rsidRPr="003907AC" w14:paraId="537940F0" w14:textId="77777777" w:rsidTr="7EA0B018">
        <w:tc>
          <w:tcPr>
            <w:tcW w:w="3113" w:type="dxa"/>
            <w:shd w:val="clear" w:color="auto" w:fill="D9D9D9" w:themeFill="background1" w:themeFillShade="D9"/>
          </w:tcPr>
          <w:p w14:paraId="7194DB2D" w14:textId="77777777" w:rsidR="00DD2A1D" w:rsidRPr="003907AC" w:rsidRDefault="00DD2A1D" w:rsidP="00DD2A1D">
            <w:pPr>
              <w:spacing w:beforeLines="40" w:before="96" w:afterLines="40" w:after="96"/>
              <w:rPr>
                <w:sz w:val="16"/>
                <w:szCs w:val="16"/>
              </w:rPr>
            </w:pPr>
            <w:r w:rsidRPr="003907AC">
              <w:rPr>
                <w:sz w:val="16"/>
                <w:szCs w:val="16"/>
              </w:rPr>
              <w:t>Occupational Health and Safety Regulations 2017 - Part 5.2 Major Hazard Facilities</w:t>
            </w:r>
          </w:p>
        </w:tc>
        <w:tc>
          <w:tcPr>
            <w:tcW w:w="5760" w:type="dxa"/>
            <w:shd w:val="clear" w:color="auto" w:fill="D9D9D9" w:themeFill="background1" w:themeFillShade="D9"/>
          </w:tcPr>
          <w:p w14:paraId="76A92EE7" w14:textId="16010FB4" w:rsidR="00DD2A1D" w:rsidRPr="003907AC" w:rsidRDefault="00B21C7F" w:rsidP="00DD2A1D">
            <w:pPr>
              <w:pStyle w:val="Tabletext"/>
              <w:spacing w:beforeLines="40" w:before="96" w:afterLines="40" w:after="96"/>
              <w:rPr>
                <w:sz w:val="16"/>
                <w:szCs w:val="16"/>
              </w:rPr>
            </w:pPr>
            <w:hyperlink r:id="rId54">
              <w:r w:rsidR="00DD2A1D" w:rsidRPr="32CC0482">
                <w:rPr>
                  <w:rStyle w:val="Hyperlink"/>
                  <w:sz w:val="16"/>
                  <w:szCs w:val="16"/>
                </w:rPr>
                <w:t>Occupational Health and Safety Regulations 2017 (legislation.vic.gov.au)</w:t>
              </w:r>
            </w:hyperlink>
          </w:p>
        </w:tc>
      </w:tr>
      <w:tr w:rsidR="00DD2A1D" w:rsidRPr="003907AC" w14:paraId="2CC74E57" w14:textId="77777777" w:rsidTr="7EA0B018">
        <w:tc>
          <w:tcPr>
            <w:tcW w:w="3113" w:type="dxa"/>
            <w:shd w:val="clear" w:color="auto" w:fill="D9D9D9" w:themeFill="background1" w:themeFillShade="D9"/>
          </w:tcPr>
          <w:p w14:paraId="6DBD1C1D" w14:textId="77777777" w:rsidR="00DD2A1D" w:rsidRPr="003907AC" w:rsidRDefault="00DD2A1D" w:rsidP="00DD2A1D">
            <w:pPr>
              <w:spacing w:beforeLines="40" w:before="96" w:afterLines="40" w:after="96"/>
              <w:rPr>
                <w:i/>
                <w:iCs/>
                <w:sz w:val="16"/>
                <w:szCs w:val="16"/>
              </w:rPr>
            </w:pPr>
            <w:r w:rsidRPr="003907AC">
              <w:rPr>
                <w:i/>
                <w:iCs/>
                <w:sz w:val="16"/>
                <w:szCs w:val="16"/>
              </w:rPr>
              <w:lastRenderedPageBreak/>
              <w:t>Pipelines Act 2005</w:t>
            </w:r>
          </w:p>
        </w:tc>
        <w:tc>
          <w:tcPr>
            <w:tcW w:w="5760" w:type="dxa"/>
            <w:shd w:val="clear" w:color="auto" w:fill="D9D9D9" w:themeFill="background1" w:themeFillShade="D9"/>
          </w:tcPr>
          <w:p w14:paraId="0AEC7814" w14:textId="41C42C61" w:rsidR="00DD2A1D" w:rsidRPr="003907AC" w:rsidRDefault="00B21C7F" w:rsidP="00DD2A1D">
            <w:pPr>
              <w:pStyle w:val="Tabletext"/>
              <w:spacing w:beforeLines="40" w:before="96" w:afterLines="40" w:after="96"/>
              <w:rPr>
                <w:sz w:val="16"/>
                <w:szCs w:val="16"/>
              </w:rPr>
            </w:pPr>
            <w:hyperlink r:id="rId55">
              <w:r w:rsidR="00DD2A1D" w:rsidRPr="32CC0482">
                <w:rPr>
                  <w:rStyle w:val="Hyperlink"/>
                  <w:sz w:val="16"/>
                  <w:szCs w:val="16"/>
                </w:rPr>
                <w:t>Pipelines Act 2005 (legislation.vic.gov.au)</w:t>
              </w:r>
            </w:hyperlink>
          </w:p>
        </w:tc>
      </w:tr>
      <w:tr w:rsidR="00DD2A1D" w:rsidRPr="003907AC" w14:paraId="095F2B1F" w14:textId="77777777" w:rsidTr="7EA0B018">
        <w:tc>
          <w:tcPr>
            <w:tcW w:w="3113" w:type="dxa"/>
            <w:shd w:val="clear" w:color="auto" w:fill="D9D9D9" w:themeFill="background1" w:themeFillShade="D9"/>
          </w:tcPr>
          <w:p w14:paraId="7515267C" w14:textId="77777777" w:rsidR="00DD2A1D" w:rsidRPr="003907AC" w:rsidRDefault="00DD2A1D" w:rsidP="00DD2A1D">
            <w:pPr>
              <w:spacing w:beforeLines="40" w:before="96" w:afterLines="40" w:after="96"/>
              <w:rPr>
                <w:sz w:val="16"/>
                <w:szCs w:val="16"/>
              </w:rPr>
            </w:pPr>
            <w:r w:rsidRPr="003907AC">
              <w:rPr>
                <w:sz w:val="16"/>
                <w:szCs w:val="16"/>
              </w:rPr>
              <w:t xml:space="preserve">Power System Emergency Management Plan </w:t>
            </w:r>
          </w:p>
        </w:tc>
        <w:tc>
          <w:tcPr>
            <w:tcW w:w="5760" w:type="dxa"/>
            <w:shd w:val="clear" w:color="auto" w:fill="D9D9D9" w:themeFill="background1" w:themeFillShade="D9"/>
          </w:tcPr>
          <w:p w14:paraId="47725CCE" w14:textId="1DE763BA" w:rsidR="00DD2A1D" w:rsidRPr="003907AC" w:rsidRDefault="00B21C7F" w:rsidP="00DD2A1D">
            <w:pPr>
              <w:pStyle w:val="Tabletext"/>
              <w:spacing w:beforeLines="40" w:before="96" w:afterLines="40" w:after="96"/>
              <w:rPr>
                <w:sz w:val="16"/>
                <w:szCs w:val="16"/>
              </w:rPr>
            </w:pPr>
            <w:hyperlink r:id="rId56">
              <w:r w:rsidR="00DD2A1D" w:rsidRPr="32CC0482">
                <w:rPr>
                  <w:rStyle w:val="Hyperlink"/>
                  <w:sz w:val="16"/>
                  <w:szCs w:val="16"/>
                </w:rPr>
                <w:t>AEMO | National role</w:t>
              </w:r>
            </w:hyperlink>
          </w:p>
        </w:tc>
      </w:tr>
      <w:tr w:rsidR="00DD2A1D" w:rsidRPr="003907AC" w14:paraId="4BEA0C6B" w14:textId="77777777" w:rsidTr="7EA0B018">
        <w:tc>
          <w:tcPr>
            <w:tcW w:w="3113" w:type="dxa"/>
            <w:shd w:val="clear" w:color="auto" w:fill="D9D9D9" w:themeFill="background1" w:themeFillShade="D9"/>
          </w:tcPr>
          <w:p w14:paraId="23060766" w14:textId="77777777" w:rsidR="00DD2A1D" w:rsidRPr="003907AC" w:rsidRDefault="00DD2A1D" w:rsidP="00DD2A1D">
            <w:pPr>
              <w:spacing w:beforeLines="40" w:before="96" w:afterLines="40" w:after="96"/>
              <w:rPr>
                <w:sz w:val="16"/>
                <w:szCs w:val="16"/>
              </w:rPr>
            </w:pPr>
            <w:r w:rsidRPr="003907AC">
              <w:rPr>
                <w:sz w:val="16"/>
                <w:szCs w:val="16"/>
              </w:rPr>
              <w:t>Powerline Replacement Fund</w:t>
            </w:r>
          </w:p>
        </w:tc>
        <w:tc>
          <w:tcPr>
            <w:tcW w:w="5760" w:type="dxa"/>
            <w:shd w:val="clear" w:color="auto" w:fill="D9D9D9" w:themeFill="background1" w:themeFillShade="D9"/>
          </w:tcPr>
          <w:p w14:paraId="3956A44E" w14:textId="50E98BEB" w:rsidR="00DD2A1D" w:rsidRPr="003907AC" w:rsidRDefault="00B21C7F" w:rsidP="00DD2A1D">
            <w:pPr>
              <w:pStyle w:val="Tabletext"/>
              <w:spacing w:beforeLines="40" w:before="96" w:afterLines="40" w:after="96"/>
              <w:rPr>
                <w:sz w:val="16"/>
                <w:szCs w:val="16"/>
              </w:rPr>
            </w:pPr>
            <w:hyperlink r:id="rId57">
              <w:r w:rsidR="00DD2A1D" w:rsidRPr="32CC0482">
                <w:rPr>
                  <w:rStyle w:val="Hyperlink"/>
                  <w:sz w:val="16"/>
                  <w:szCs w:val="16"/>
                </w:rPr>
                <w:t>Powerline replacement (energy.vic.gov.au)</w:t>
              </w:r>
            </w:hyperlink>
          </w:p>
        </w:tc>
      </w:tr>
      <w:tr w:rsidR="00DD2A1D" w:rsidRPr="003907AC" w14:paraId="26C3BA6D" w14:textId="77777777" w:rsidTr="7EA0B018">
        <w:tc>
          <w:tcPr>
            <w:tcW w:w="3113" w:type="dxa"/>
            <w:shd w:val="clear" w:color="auto" w:fill="D9D9D9" w:themeFill="background1" w:themeFillShade="D9"/>
          </w:tcPr>
          <w:p w14:paraId="6CEB34AB" w14:textId="77777777" w:rsidR="00DD2A1D" w:rsidRPr="003907AC" w:rsidRDefault="00DD2A1D" w:rsidP="00DD2A1D">
            <w:pPr>
              <w:spacing w:beforeLines="40" w:before="96" w:afterLines="40" w:after="96"/>
              <w:rPr>
                <w:sz w:val="16"/>
                <w:szCs w:val="16"/>
              </w:rPr>
            </w:pPr>
            <w:r w:rsidRPr="003907AC">
              <w:rPr>
                <w:sz w:val="16"/>
                <w:szCs w:val="16"/>
              </w:rPr>
              <w:t>Single Industry Spokesperson Protocol for Electricity in Victoria (2019)</w:t>
            </w:r>
          </w:p>
        </w:tc>
        <w:tc>
          <w:tcPr>
            <w:tcW w:w="5760" w:type="dxa"/>
            <w:shd w:val="clear" w:color="auto" w:fill="D9D9D9" w:themeFill="background1" w:themeFillShade="D9"/>
          </w:tcPr>
          <w:p w14:paraId="16506F1F" w14:textId="2AA99CCD" w:rsidR="00DD2A1D" w:rsidRPr="003907AC" w:rsidRDefault="00B21C7F" w:rsidP="00DD2A1D">
            <w:pPr>
              <w:pStyle w:val="Tabletext"/>
              <w:spacing w:beforeLines="40" w:before="96" w:afterLines="40" w:after="96"/>
              <w:rPr>
                <w:sz w:val="16"/>
                <w:szCs w:val="16"/>
              </w:rPr>
            </w:pPr>
            <w:hyperlink r:id="rId58">
              <w:r w:rsidR="00DD2A1D" w:rsidRPr="32CC0482">
                <w:rPr>
                  <w:rStyle w:val="Hyperlink"/>
                  <w:sz w:val="16"/>
                  <w:szCs w:val="16"/>
                </w:rPr>
                <w:t>AEMO-Single-Industry-Spokesperson-Protocol-VIC-Electricity.pdf</w:t>
              </w:r>
            </w:hyperlink>
          </w:p>
        </w:tc>
      </w:tr>
      <w:tr w:rsidR="00DD2A1D" w:rsidRPr="003907AC" w14:paraId="655FA608" w14:textId="77777777" w:rsidTr="7EA0B018">
        <w:tc>
          <w:tcPr>
            <w:tcW w:w="3113" w:type="dxa"/>
            <w:shd w:val="clear" w:color="auto" w:fill="D9D9D9" w:themeFill="background1" w:themeFillShade="D9"/>
          </w:tcPr>
          <w:p w14:paraId="3DD3A9FC" w14:textId="77777777" w:rsidR="00DD2A1D" w:rsidRPr="003907AC" w:rsidRDefault="00DD2A1D" w:rsidP="00DD2A1D">
            <w:pPr>
              <w:spacing w:beforeLines="40" w:before="96" w:afterLines="40" w:after="96"/>
              <w:rPr>
                <w:sz w:val="16"/>
                <w:szCs w:val="16"/>
              </w:rPr>
            </w:pPr>
            <w:r w:rsidRPr="003907AC">
              <w:rPr>
                <w:sz w:val="16"/>
                <w:szCs w:val="16"/>
              </w:rPr>
              <w:t>Single Industry Spokesperson Protocol for Gas in Victoria (2019)</w:t>
            </w:r>
          </w:p>
        </w:tc>
        <w:tc>
          <w:tcPr>
            <w:tcW w:w="5760" w:type="dxa"/>
            <w:shd w:val="clear" w:color="auto" w:fill="D9D9D9" w:themeFill="background1" w:themeFillShade="D9"/>
          </w:tcPr>
          <w:p w14:paraId="7C2CFFD6" w14:textId="47F12390" w:rsidR="00DD2A1D" w:rsidRPr="003907AC" w:rsidRDefault="00B21C7F" w:rsidP="00DD2A1D">
            <w:pPr>
              <w:pStyle w:val="Tabletext"/>
              <w:spacing w:beforeLines="40" w:before="96" w:afterLines="40" w:after="96"/>
              <w:rPr>
                <w:sz w:val="16"/>
                <w:szCs w:val="16"/>
              </w:rPr>
            </w:pPr>
            <w:hyperlink r:id="rId59">
              <w:r w:rsidR="00DD2A1D" w:rsidRPr="32CC0482">
                <w:rPr>
                  <w:rStyle w:val="Hyperlink"/>
                  <w:sz w:val="16"/>
                  <w:szCs w:val="16"/>
                </w:rPr>
                <w:t>2D58AADB8B04406CA2E3A10D2C89C744.ashx (aemo.com.au)</w:t>
              </w:r>
            </w:hyperlink>
          </w:p>
        </w:tc>
      </w:tr>
      <w:tr w:rsidR="00DD2A1D" w:rsidRPr="003907AC" w14:paraId="018C7BFB" w14:textId="77777777" w:rsidTr="7EA0B018">
        <w:tc>
          <w:tcPr>
            <w:tcW w:w="3113" w:type="dxa"/>
            <w:shd w:val="clear" w:color="auto" w:fill="D9D9D9" w:themeFill="background1" w:themeFillShade="D9"/>
          </w:tcPr>
          <w:p w14:paraId="21717353" w14:textId="77777777" w:rsidR="00DD2A1D" w:rsidRPr="003907AC" w:rsidRDefault="00DD2A1D" w:rsidP="00DD2A1D">
            <w:pPr>
              <w:spacing w:beforeLines="40" w:before="96" w:afterLines="40" w:after="96"/>
              <w:rPr>
                <w:sz w:val="16"/>
                <w:szCs w:val="16"/>
              </w:rPr>
            </w:pPr>
            <w:r w:rsidRPr="003907AC">
              <w:rPr>
                <w:sz w:val="16"/>
                <w:szCs w:val="16"/>
              </w:rPr>
              <w:t>State Emergency Management Plan</w:t>
            </w:r>
          </w:p>
        </w:tc>
        <w:tc>
          <w:tcPr>
            <w:tcW w:w="5760" w:type="dxa"/>
            <w:shd w:val="clear" w:color="auto" w:fill="D9D9D9" w:themeFill="background1" w:themeFillShade="D9"/>
          </w:tcPr>
          <w:p w14:paraId="1861F8A4" w14:textId="08EE22E8" w:rsidR="00DD2A1D" w:rsidRPr="003907AC" w:rsidRDefault="00B21C7F" w:rsidP="00DD2A1D">
            <w:pPr>
              <w:pStyle w:val="Tabletext"/>
              <w:spacing w:beforeLines="40" w:before="96" w:afterLines="40" w:after="96"/>
              <w:rPr>
                <w:sz w:val="16"/>
                <w:szCs w:val="16"/>
              </w:rPr>
            </w:pPr>
            <w:hyperlink r:id="rId60">
              <w:r w:rsidR="00DD2A1D" w:rsidRPr="32CC0482">
                <w:rPr>
                  <w:rStyle w:val="Hyperlink"/>
                  <w:sz w:val="16"/>
                  <w:szCs w:val="16"/>
                </w:rPr>
                <w:t>State Emergency Management Plan (SEMP) | Emergency Management Victoria (emv.vic.gov.au)</w:t>
              </w:r>
            </w:hyperlink>
          </w:p>
        </w:tc>
      </w:tr>
      <w:tr w:rsidR="00DD2A1D" w:rsidRPr="003907AC" w14:paraId="01C900A4" w14:textId="77777777" w:rsidTr="7EA0B018">
        <w:tc>
          <w:tcPr>
            <w:tcW w:w="3113" w:type="dxa"/>
            <w:shd w:val="clear" w:color="auto" w:fill="D9D9D9" w:themeFill="background1" w:themeFillShade="D9"/>
          </w:tcPr>
          <w:p w14:paraId="057CFBD8" w14:textId="77777777" w:rsidR="00DD2A1D" w:rsidRPr="003907AC" w:rsidRDefault="00DD2A1D" w:rsidP="00DD2A1D">
            <w:pPr>
              <w:spacing w:beforeLines="40" w:before="96" w:afterLines="40" w:after="96"/>
              <w:rPr>
                <w:sz w:val="16"/>
                <w:szCs w:val="16"/>
              </w:rPr>
            </w:pPr>
            <w:r w:rsidRPr="003907AC">
              <w:rPr>
                <w:sz w:val="16"/>
                <w:szCs w:val="16"/>
              </w:rPr>
              <w:t>Victorian Critical Infrastructure Resilience Strategy</w:t>
            </w:r>
          </w:p>
        </w:tc>
        <w:tc>
          <w:tcPr>
            <w:tcW w:w="5760" w:type="dxa"/>
            <w:shd w:val="clear" w:color="auto" w:fill="D9D9D9" w:themeFill="background1" w:themeFillShade="D9"/>
          </w:tcPr>
          <w:p w14:paraId="26D62EAA" w14:textId="32BDDEB9" w:rsidR="00DD2A1D" w:rsidRPr="003907AC" w:rsidRDefault="00B21C7F" w:rsidP="00DD2A1D">
            <w:pPr>
              <w:pStyle w:val="Tabletext"/>
              <w:spacing w:beforeLines="40" w:before="96" w:afterLines="40" w:after="96"/>
              <w:rPr>
                <w:sz w:val="16"/>
                <w:szCs w:val="16"/>
              </w:rPr>
            </w:pPr>
            <w:hyperlink r:id="rId61">
              <w:r w:rsidR="00DD2A1D" w:rsidRPr="32CC0482">
                <w:rPr>
                  <w:rStyle w:val="Hyperlink"/>
                  <w:sz w:val="16"/>
                  <w:szCs w:val="16"/>
                </w:rPr>
                <w:t>Critical Infrastructure Resilience | Emergency Management Victoria (emv.vic.gov.au)</w:t>
              </w:r>
            </w:hyperlink>
          </w:p>
        </w:tc>
      </w:tr>
    </w:tbl>
    <w:p w14:paraId="172A55B5" w14:textId="77777777" w:rsidR="00DD2A1D" w:rsidRPr="003907AC" w:rsidRDefault="00DD2A1D" w:rsidP="00DD2A1D"/>
    <w:p w14:paraId="4E26AC7A" w14:textId="77777777" w:rsidR="00DD2A1D" w:rsidRPr="003907AC" w:rsidRDefault="00DD2A1D" w:rsidP="00DD2A1D"/>
    <w:p w14:paraId="3CB3A17F" w14:textId="77777777" w:rsidR="00DD2A1D" w:rsidRPr="003907AC" w:rsidRDefault="00DD2A1D" w:rsidP="00DD2A1D"/>
    <w:p w14:paraId="524746C6" w14:textId="77777777" w:rsidR="00DD2A1D" w:rsidRPr="003907AC" w:rsidRDefault="00DD2A1D" w:rsidP="00DD2A1D"/>
    <w:p w14:paraId="1372F844" w14:textId="77777777" w:rsidR="00DD2A1D" w:rsidRPr="003907AC" w:rsidRDefault="00DD2A1D" w:rsidP="00DD2A1D"/>
    <w:p w14:paraId="3CAB167B" w14:textId="77777777" w:rsidR="00DD2A1D" w:rsidRPr="003907AC" w:rsidRDefault="00DD2A1D" w:rsidP="00DD2A1D"/>
    <w:p w14:paraId="0A8A34FE" w14:textId="77777777" w:rsidR="00DD2A1D" w:rsidRPr="003907AC" w:rsidRDefault="00DD2A1D" w:rsidP="00DD2A1D"/>
    <w:p w14:paraId="731FB29C" w14:textId="77777777" w:rsidR="00DD2A1D" w:rsidRPr="003907AC" w:rsidRDefault="00DD2A1D" w:rsidP="00DD2A1D"/>
    <w:p w14:paraId="22140FAC" w14:textId="77777777" w:rsidR="00DD2A1D" w:rsidRPr="003907AC" w:rsidRDefault="00DD2A1D" w:rsidP="00DD2A1D"/>
    <w:p w14:paraId="76A9FCD8" w14:textId="77777777" w:rsidR="00DD2A1D" w:rsidRPr="003907AC" w:rsidRDefault="00DD2A1D" w:rsidP="00DD2A1D"/>
    <w:p w14:paraId="7255CF9F" w14:textId="77777777" w:rsidR="00DD2A1D" w:rsidRPr="003907AC" w:rsidRDefault="00DD2A1D" w:rsidP="00DD2A1D">
      <w:pPr>
        <w:rPr>
          <w:color w:val="005954" w:themeColor="accent1" w:themeShade="80"/>
          <w:sz w:val="30"/>
          <w:szCs w:val="54"/>
        </w:rPr>
      </w:pPr>
      <w:r w:rsidRPr="003907AC">
        <w:br w:type="page"/>
      </w:r>
    </w:p>
    <w:p w14:paraId="610AE8FE" w14:textId="77777777" w:rsidR="00DD2A1D" w:rsidRPr="003907AC" w:rsidRDefault="00DD2A1D" w:rsidP="00DD2A1D">
      <w:pPr>
        <w:pStyle w:val="Heading1"/>
      </w:pPr>
      <w:bookmarkStart w:id="2033" w:name="_Toc90319431"/>
      <w:bookmarkStart w:id="2034" w:name="_Toc79830008"/>
      <w:bookmarkStart w:id="2035" w:name="_Toc1209815942"/>
      <w:bookmarkStart w:id="2036" w:name="_Toc1923248197"/>
      <w:bookmarkStart w:id="2037" w:name="_Toc266631949"/>
      <w:bookmarkStart w:id="2038" w:name="_Toc1518257292"/>
      <w:bookmarkStart w:id="2039" w:name="_Toc1992088517"/>
      <w:bookmarkStart w:id="2040" w:name="_Toc1587279990"/>
      <w:bookmarkStart w:id="2041" w:name="_Toc940241081"/>
      <w:bookmarkStart w:id="2042" w:name="_Toc722840192"/>
      <w:bookmarkStart w:id="2043" w:name="_Toc344068194"/>
      <w:bookmarkStart w:id="2044" w:name="_Toc1426629429"/>
      <w:bookmarkStart w:id="2045" w:name="_Toc985403770"/>
      <w:bookmarkStart w:id="2046" w:name="_Toc1785602455"/>
      <w:bookmarkStart w:id="2047" w:name="_Toc1845855796"/>
      <w:bookmarkStart w:id="2048" w:name="_Toc372000185"/>
      <w:bookmarkStart w:id="2049" w:name="_Toc1157933228"/>
      <w:bookmarkStart w:id="2050" w:name="_Toc1150345374"/>
      <w:bookmarkStart w:id="2051" w:name="_Toc1213161371"/>
      <w:bookmarkStart w:id="2052" w:name="_Toc474547292"/>
      <w:bookmarkStart w:id="2053" w:name="_Toc760023325"/>
      <w:bookmarkStart w:id="2054" w:name="_Toc1624646640"/>
      <w:bookmarkStart w:id="2055" w:name="_Toc1327171907"/>
      <w:bookmarkStart w:id="2056" w:name="_Toc1064993535"/>
      <w:bookmarkStart w:id="2057" w:name="_Toc1312436849"/>
      <w:bookmarkStart w:id="2058" w:name="_Toc121250302"/>
      <w:bookmarkStart w:id="2059" w:name="_Toc283497307"/>
      <w:bookmarkStart w:id="2060" w:name="_Toc1899152103"/>
      <w:bookmarkStart w:id="2061" w:name="_Toc722219515"/>
      <w:bookmarkStart w:id="2062" w:name="_Toc1045212372"/>
      <w:bookmarkStart w:id="2063" w:name="_Toc1440449632"/>
      <w:bookmarkStart w:id="2064" w:name="_Toc1534802191"/>
      <w:bookmarkStart w:id="2065" w:name="_Toc502906986"/>
      <w:bookmarkStart w:id="2066" w:name="_Toc1213078396"/>
      <w:bookmarkStart w:id="2067" w:name="_Toc1356327384"/>
      <w:bookmarkStart w:id="2068" w:name="_Toc1229848367"/>
      <w:bookmarkStart w:id="2069" w:name="_Toc1498777401"/>
      <w:bookmarkStart w:id="2070" w:name="_Toc674106475"/>
      <w:bookmarkStart w:id="2071" w:name="_Toc555920006"/>
      <w:bookmarkStart w:id="2072" w:name="_Toc857564987"/>
      <w:bookmarkStart w:id="2073" w:name="_Toc707723534"/>
      <w:bookmarkStart w:id="2074" w:name="_Toc239997470"/>
      <w:bookmarkStart w:id="2075" w:name="_Toc314041592"/>
      <w:bookmarkStart w:id="2076" w:name="_Toc1139617387"/>
      <w:bookmarkStart w:id="2077" w:name="_Toc1989741112"/>
      <w:bookmarkStart w:id="2078" w:name="_Toc1288655684"/>
      <w:bookmarkStart w:id="2079" w:name="_Toc94013219"/>
      <w:r>
        <w:lastRenderedPageBreak/>
        <w:t>Appendix D: Acronyms</w:t>
      </w:r>
      <w:bookmarkEnd w:id="1779"/>
      <w:bookmarkEnd w:id="1780"/>
      <w:bookmarkEnd w:id="1781"/>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tbl>
      <w:tblPr>
        <w:tblW w:w="887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2" w:type="dxa"/>
          <w:left w:w="142" w:type="dxa"/>
          <w:bottom w:w="142" w:type="dxa"/>
          <w:right w:w="142" w:type="dxa"/>
        </w:tblCellMar>
        <w:tblLook w:val="0000" w:firstRow="0" w:lastRow="0" w:firstColumn="0" w:lastColumn="0" w:noHBand="0" w:noVBand="0"/>
      </w:tblPr>
      <w:tblGrid>
        <w:gridCol w:w="3113"/>
        <w:gridCol w:w="5760"/>
      </w:tblGrid>
      <w:tr w:rsidR="00DD2A1D" w:rsidRPr="003907AC" w14:paraId="71736F5B" w14:textId="77777777" w:rsidTr="00DD2A1D">
        <w:trPr>
          <w:tblHeader/>
        </w:trPr>
        <w:tc>
          <w:tcPr>
            <w:tcW w:w="3113" w:type="dxa"/>
            <w:shd w:val="clear" w:color="auto" w:fill="006794"/>
          </w:tcPr>
          <w:p w14:paraId="7A993734" w14:textId="77777777" w:rsidR="00DD2A1D" w:rsidRPr="003907AC" w:rsidRDefault="00DD2A1D" w:rsidP="00DD2A1D">
            <w:pPr>
              <w:pStyle w:val="TableHeading"/>
            </w:pPr>
            <w:r w:rsidRPr="003907AC">
              <w:t>Acronym</w:t>
            </w:r>
          </w:p>
        </w:tc>
        <w:tc>
          <w:tcPr>
            <w:tcW w:w="5760" w:type="dxa"/>
            <w:shd w:val="clear" w:color="auto" w:fill="006794"/>
          </w:tcPr>
          <w:p w14:paraId="62E7CB69" w14:textId="77777777" w:rsidR="00DD2A1D" w:rsidRPr="003907AC" w:rsidRDefault="00DD2A1D" w:rsidP="00DD2A1D">
            <w:pPr>
              <w:pStyle w:val="TableHeading"/>
            </w:pPr>
            <w:r w:rsidRPr="003907AC">
              <w:t>Definition</w:t>
            </w:r>
          </w:p>
        </w:tc>
      </w:tr>
      <w:tr w:rsidR="00DD2A1D" w:rsidRPr="003907AC" w14:paraId="0C7ACBB7" w14:textId="77777777" w:rsidTr="00DD2A1D">
        <w:tc>
          <w:tcPr>
            <w:tcW w:w="3113" w:type="dxa"/>
            <w:shd w:val="clear" w:color="auto" w:fill="D9D9D9" w:themeFill="background1" w:themeFillShade="D9"/>
          </w:tcPr>
          <w:p w14:paraId="7483EBB1" w14:textId="77777777" w:rsidR="00DD2A1D" w:rsidRPr="003907AC" w:rsidRDefault="00DD2A1D" w:rsidP="00DD2A1D">
            <w:pPr>
              <w:pStyle w:val="Tabletext"/>
            </w:pPr>
            <w:r w:rsidRPr="003907AC">
              <w:t>AEMO</w:t>
            </w:r>
          </w:p>
        </w:tc>
        <w:tc>
          <w:tcPr>
            <w:tcW w:w="5760" w:type="dxa"/>
            <w:shd w:val="clear" w:color="auto" w:fill="D9D9D9" w:themeFill="background1" w:themeFillShade="D9"/>
          </w:tcPr>
          <w:p w14:paraId="03F5EC67" w14:textId="77777777" w:rsidR="00DD2A1D" w:rsidRPr="003907AC" w:rsidRDefault="00DD2A1D" w:rsidP="00DD2A1D">
            <w:pPr>
              <w:pStyle w:val="Tabletext"/>
            </w:pPr>
            <w:r w:rsidRPr="003907AC">
              <w:t>Australian Energy Market Operator</w:t>
            </w:r>
          </w:p>
        </w:tc>
      </w:tr>
      <w:tr w:rsidR="00DD2A1D" w:rsidRPr="003907AC" w14:paraId="39254A2A" w14:textId="77777777" w:rsidTr="00DD2A1D">
        <w:tc>
          <w:tcPr>
            <w:tcW w:w="3113" w:type="dxa"/>
            <w:shd w:val="clear" w:color="auto" w:fill="D9D9D9" w:themeFill="background1" w:themeFillShade="D9"/>
          </w:tcPr>
          <w:p w14:paraId="5DE5E9F8" w14:textId="77777777" w:rsidR="00DD2A1D" w:rsidRPr="003907AC" w:rsidRDefault="00DD2A1D" w:rsidP="00DD2A1D">
            <w:pPr>
              <w:pStyle w:val="Tabletext"/>
            </w:pPr>
            <w:r w:rsidRPr="003907AC">
              <w:t>AIP</w:t>
            </w:r>
          </w:p>
        </w:tc>
        <w:tc>
          <w:tcPr>
            <w:tcW w:w="5760" w:type="dxa"/>
            <w:shd w:val="clear" w:color="auto" w:fill="D9D9D9" w:themeFill="background1" w:themeFillShade="D9"/>
          </w:tcPr>
          <w:p w14:paraId="584DBBAA" w14:textId="77777777" w:rsidR="00DD2A1D" w:rsidRPr="003907AC" w:rsidRDefault="00DD2A1D" w:rsidP="00DD2A1D">
            <w:pPr>
              <w:pStyle w:val="Tabletext"/>
            </w:pPr>
            <w:r w:rsidRPr="003907AC">
              <w:t>Australian Institute of Petroleum</w:t>
            </w:r>
          </w:p>
        </w:tc>
      </w:tr>
      <w:tr w:rsidR="00DD2A1D" w:rsidRPr="003907AC" w14:paraId="6D25B511" w14:textId="77777777" w:rsidTr="00DD2A1D">
        <w:tc>
          <w:tcPr>
            <w:tcW w:w="3113" w:type="dxa"/>
            <w:shd w:val="clear" w:color="auto" w:fill="D9D9D9" w:themeFill="background1" w:themeFillShade="D9"/>
          </w:tcPr>
          <w:p w14:paraId="669B0C31" w14:textId="77777777" w:rsidR="00DD2A1D" w:rsidRPr="003907AC" w:rsidRDefault="00DD2A1D" w:rsidP="00DD2A1D">
            <w:pPr>
              <w:pStyle w:val="Tabletext"/>
            </w:pPr>
            <w:r w:rsidRPr="003907AC">
              <w:t>BMP</w:t>
            </w:r>
          </w:p>
        </w:tc>
        <w:tc>
          <w:tcPr>
            <w:tcW w:w="5760" w:type="dxa"/>
            <w:shd w:val="clear" w:color="auto" w:fill="D9D9D9" w:themeFill="background1" w:themeFillShade="D9"/>
          </w:tcPr>
          <w:p w14:paraId="652F92F5" w14:textId="77777777" w:rsidR="00DD2A1D" w:rsidRPr="003907AC" w:rsidRDefault="00DD2A1D" w:rsidP="00DD2A1D">
            <w:pPr>
              <w:pStyle w:val="Tabletext"/>
            </w:pPr>
            <w:r w:rsidRPr="003907AC">
              <w:t xml:space="preserve">Bushfire Management Plan </w:t>
            </w:r>
            <w:r w:rsidRPr="003907AC">
              <w:rPr>
                <w:i/>
                <w:iCs/>
              </w:rPr>
              <w:t>(electricity)</w:t>
            </w:r>
          </w:p>
        </w:tc>
      </w:tr>
      <w:tr w:rsidR="00DD2A1D" w:rsidRPr="003907AC" w14:paraId="1B3FA8CA" w14:textId="77777777" w:rsidTr="00DD2A1D">
        <w:tc>
          <w:tcPr>
            <w:tcW w:w="3113" w:type="dxa"/>
            <w:shd w:val="clear" w:color="auto" w:fill="D9D9D9" w:themeFill="background1" w:themeFillShade="D9"/>
          </w:tcPr>
          <w:p w14:paraId="5AA034E0" w14:textId="77777777" w:rsidR="00DD2A1D" w:rsidRPr="003907AC" w:rsidRDefault="00DD2A1D" w:rsidP="00DD2A1D">
            <w:pPr>
              <w:pStyle w:val="Tabletext"/>
            </w:pPr>
            <w:proofErr w:type="spellStart"/>
            <w:r w:rsidRPr="003907AC">
              <w:t>CAOiC</w:t>
            </w:r>
            <w:proofErr w:type="spellEnd"/>
          </w:p>
        </w:tc>
        <w:tc>
          <w:tcPr>
            <w:tcW w:w="5760" w:type="dxa"/>
            <w:shd w:val="clear" w:color="auto" w:fill="D9D9D9" w:themeFill="background1" w:themeFillShade="D9"/>
          </w:tcPr>
          <w:p w14:paraId="4F195E33" w14:textId="77777777" w:rsidR="00DD2A1D" w:rsidRPr="003907AC" w:rsidRDefault="00DD2A1D" w:rsidP="00DD2A1D">
            <w:pPr>
              <w:pStyle w:val="Tabletext"/>
            </w:pPr>
            <w:r w:rsidRPr="003907AC">
              <w:t xml:space="preserve">Control Agency Officer in Charge </w:t>
            </w:r>
            <w:r w:rsidRPr="003907AC">
              <w:rPr>
                <w:i/>
                <w:iCs/>
              </w:rPr>
              <w:t>(Secretary-DELWP)</w:t>
            </w:r>
          </w:p>
        </w:tc>
      </w:tr>
      <w:tr w:rsidR="00DD2A1D" w:rsidRPr="003907AC" w14:paraId="3AE55D66" w14:textId="77777777" w:rsidTr="00DD2A1D">
        <w:tc>
          <w:tcPr>
            <w:tcW w:w="3113" w:type="dxa"/>
            <w:shd w:val="clear" w:color="auto" w:fill="D9D9D9" w:themeFill="background1" w:themeFillShade="D9"/>
          </w:tcPr>
          <w:p w14:paraId="743B1430" w14:textId="77777777" w:rsidR="00DD2A1D" w:rsidRPr="003907AC" w:rsidRDefault="00DD2A1D" w:rsidP="00DD2A1D">
            <w:pPr>
              <w:pStyle w:val="Tabletext"/>
            </w:pPr>
            <w:r w:rsidRPr="003907AC">
              <w:t>DELWP</w:t>
            </w:r>
          </w:p>
        </w:tc>
        <w:tc>
          <w:tcPr>
            <w:tcW w:w="5760" w:type="dxa"/>
            <w:shd w:val="clear" w:color="auto" w:fill="D9D9D9" w:themeFill="background1" w:themeFillShade="D9"/>
          </w:tcPr>
          <w:p w14:paraId="1982683B" w14:textId="77777777" w:rsidR="00DD2A1D" w:rsidRPr="003907AC" w:rsidRDefault="00DD2A1D" w:rsidP="00DD2A1D">
            <w:pPr>
              <w:pStyle w:val="Tabletext"/>
            </w:pPr>
            <w:r w:rsidRPr="003907AC">
              <w:t>Department of Environment, Land, Water and Planning</w:t>
            </w:r>
          </w:p>
        </w:tc>
      </w:tr>
      <w:tr w:rsidR="00DD2A1D" w:rsidRPr="003907AC" w14:paraId="3534BE8A" w14:textId="77777777" w:rsidTr="00DD2A1D">
        <w:tc>
          <w:tcPr>
            <w:tcW w:w="3113" w:type="dxa"/>
            <w:shd w:val="clear" w:color="auto" w:fill="D9D9D9" w:themeFill="background1" w:themeFillShade="D9"/>
          </w:tcPr>
          <w:p w14:paraId="0C3CF437" w14:textId="77777777" w:rsidR="00DD2A1D" w:rsidRPr="003907AC" w:rsidRDefault="00DD2A1D" w:rsidP="00DD2A1D">
            <w:pPr>
              <w:pStyle w:val="Tabletext"/>
            </w:pPr>
            <w:bookmarkStart w:id="2080" w:name="_Toc82350815"/>
            <w:r w:rsidRPr="003907AC">
              <w:t>DNSP</w:t>
            </w:r>
            <w:bookmarkEnd w:id="2080"/>
          </w:p>
        </w:tc>
        <w:tc>
          <w:tcPr>
            <w:tcW w:w="5760" w:type="dxa"/>
            <w:shd w:val="clear" w:color="auto" w:fill="D9D9D9" w:themeFill="background1" w:themeFillShade="D9"/>
          </w:tcPr>
          <w:p w14:paraId="19719383" w14:textId="77777777" w:rsidR="00DD2A1D" w:rsidRPr="003907AC" w:rsidRDefault="00DD2A1D" w:rsidP="00DD2A1D">
            <w:pPr>
              <w:pStyle w:val="Tabletext"/>
            </w:pPr>
            <w:r w:rsidRPr="003907AC">
              <w:t>Distribution Network System Providers</w:t>
            </w:r>
          </w:p>
        </w:tc>
      </w:tr>
      <w:tr w:rsidR="00DD2A1D" w:rsidRPr="003907AC" w14:paraId="4DFB869F" w14:textId="77777777" w:rsidTr="00DD2A1D">
        <w:tc>
          <w:tcPr>
            <w:tcW w:w="3113" w:type="dxa"/>
            <w:shd w:val="clear" w:color="auto" w:fill="D9D9D9" w:themeFill="background1" w:themeFillShade="D9"/>
          </w:tcPr>
          <w:p w14:paraId="437E8594" w14:textId="77777777" w:rsidR="00DD2A1D" w:rsidRPr="003907AC" w:rsidRDefault="00DD2A1D" w:rsidP="00DD2A1D">
            <w:pPr>
              <w:pStyle w:val="Tabletext"/>
            </w:pPr>
            <w:r w:rsidRPr="003907AC">
              <w:t>DTS</w:t>
            </w:r>
          </w:p>
        </w:tc>
        <w:tc>
          <w:tcPr>
            <w:tcW w:w="5760" w:type="dxa"/>
            <w:shd w:val="clear" w:color="auto" w:fill="D9D9D9" w:themeFill="background1" w:themeFillShade="D9"/>
          </w:tcPr>
          <w:p w14:paraId="67D7699C" w14:textId="77777777" w:rsidR="00DD2A1D" w:rsidRPr="003907AC" w:rsidRDefault="00DD2A1D" w:rsidP="00DD2A1D">
            <w:pPr>
              <w:pStyle w:val="Tabletext"/>
            </w:pPr>
            <w:r w:rsidRPr="003907AC">
              <w:t>Declared Transmission System</w:t>
            </w:r>
          </w:p>
        </w:tc>
      </w:tr>
      <w:tr w:rsidR="00DD2A1D" w:rsidRPr="003907AC" w14:paraId="5548FB00" w14:textId="77777777" w:rsidTr="00DD2A1D">
        <w:tc>
          <w:tcPr>
            <w:tcW w:w="3113" w:type="dxa"/>
            <w:shd w:val="clear" w:color="auto" w:fill="D9D9D9" w:themeFill="background1" w:themeFillShade="D9"/>
          </w:tcPr>
          <w:p w14:paraId="456872C1" w14:textId="77777777" w:rsidR="00DD2A1D" w:rsidRPr="003907AC" w:rsidRDefault="00DD2A1D" w:rsidP="00DD2A1D">
            <w:pPr>
              <w:pStyle w:val="Tabletext"/>
            </w:pPr>
            <w:r w:rsidRPr="003907AC">
              <w:t>DWGM</w:t>
            </w:r>
          </w:p>
        </w:tc>
        <w:tc>
          <w:tcPr>
            <w:tcW w:w="5760" w:type="dxa"/>
            <w:shd w:val="clear" w:color="auto" w:fill="D9D9D9" w:themeFill="background1" w:themeFillShade="D9"/>
          </w:tcPr>
          <w:p w14:paraId="53072CA8" w14:textId="77777777" w:rsidR="00DD2A1D" w:rsidRPr="003907AC" w:rsidRDefault="00DD2A1D" w:rsidP="00DD2A1D">
            <w:pPr>
              <w:pStyle w:val="Tabletext"/>
            </w:pPr>
            <w:r w:rsidRPr="003907AC">
              <w:t>Declared Wholesale Gas Market</w:t>
            </w:r>
          </w:p>
        </w:tc>
      </w:tr>
      <w:tr w:rsidR="00DD2A1D" w:rsidRPr="003907AC" w14:paraId="02589CAB" w14:textId="77777777" w:rsidTr="00DD2A1D">
        <w:tc>
          <w:tcPr>
            <w:tcW w:w="3113" w:type="dxa"/>
            <w:shd w:val="clear" w:color="auto" w:fill="D9D9D9" w:themeFill="background1" w:themeFillShade="D9"/>
          </w:tcPr>
          <w:p w14:paraId="6BD22443" w14:textId="77777777" w:rsidR="00DD2A1D" w:rsidRPr="003907AC" w:rsidRDefault="00DD2A1D" w:rsidP="00DD2A1D">
            <w:pPr>
              <w:pStyle w:val="Tabletext"/>
            </w:pPr>
            <w:r w:rsidRPr="003907AC">
              <w:t>EIRC</w:t>
            </w:r>
          </w:p>
        </w:tc>
        <w:tc>
          <w:tcPr>
            <w:tcW w:w="5760" w:type="dxa"/>
            <w:shd w:val="clear" w:color="auto" w:fill="D9D9D9" w:themeFill="background1" w:themeFillShade="D9"/>
          </w:tcPr>
          <w:p w14:paraId="77C60271" w14:textId="77777777" w:rsidR="00DD2A1D" w:rsidRPr="003907AC" w:rsidRDefault="00DD2A1D" w:rsidP="00DD2A1D">
            <w:pPr>
              <w:pStyle w:val="Tabletext"/>
            </w:pPr>
            <w:r w:rsidRPr="003907AC">
              <w:t>Energy Industry Response Committee</w:t>
            </w:r>
          </w:p>
        </w:tc>
      </w:tr>
      <w:tr w:rsidR="00DD2A1D" w:rsidRPr="003907AC" w14:paraId="76E830B2" w14:textId="77777777" w:rsidTr="00DD2A1D">
        <w:tc>
          <w:tcPr>
            <w:tcW w:w="3113" w:type="dxa"/>
            <w:shd w:val="clear" w:color="auto" w:fill="D9D9D9" w:themeFill="background1" w:themeFillShade="D9"/>
          </w:tcPr>
          <w:p w14:paraId="1C7F0A17" w14:textId="77777777" w:rsidR="00DD2A1D" w:rsidRPr="003907AC" w:rsidRDefault="00DD2A1D" w:rsidP="00DD2A1D">
            <w:pPr>
              <w:pStyle w:val="Tabletext"/>
            </w:pPr>
            <w:r w:rsidRPr="003907AC">
              <w:t>EPA</w:t>
            </w:r>
          </w:p>
        </w:tc>
        <w:tc>
          <w:tcPr>
            <w:tcW w:w="5760" w:type="dxa"/>
            <w:shd w:val="clear" w:color="auto" w:fill="D9D9D9" w:themeFill="background1" w:themeFillShade="D9"/>
          </w:tcPr>
          <w:p w14:paraId="50B2D026" w14:textId="77777777" w:rsidR="00DD2A1D" w:rsidRPr="003907AC" w:rsidRDefault="00DD2A1D" w:rsidP="00DD2A1D">
            <w:pPr>
              <w:pStyle w:val="Tabletext"/>
            </w:pPr>
            <w:r w:rsidRPr="003907AC">
              <w:t>Environment Protection Authority</w:t>
            </w:r>
          </w:p>
        </w:tc>
      </w:tr>
      <w:tr w:rsidR="00DD2A1D" w:rsidRPr="003907AC" w14:paraId="221496AC" w14:textId="77777777" w:rsidTr="00DD2A1D">
        <w:tc>
          <w:tcPr>
            <w:tcW w:w="3113" w:type="dxa"/>
            <w:shd w:val="clear" w:color="auto" w:fill="D9D9D9" w:themeFill="background1" w:themeFillShade="D9"/>
          </w:tcPr>
          <w:p w14:paraId="44A11646" w14:textId="77777777" w:rsidR="00DD2A1D" w:rsidRPr="003907AC" w:rsidRDefault="00DD2A1D" w:rsidP="00DD2A1D">
            <w:pPr>
              <w:pStyle w:val="Tabletext"/>
            </w:pPr>
            <w:r w:rsidRPr="003907AC">
              <w:t>ESOO</w:t>
            </w:r>
          </w:p>
        </w:tc>
        <w:tc>
          <w:tcPr>
            <w:tcW w:w="5760" w:type="dxa"/>
            <w:shd w:val="clear" w:color="auto" w:fill="D9D9D9" w:themeFill="background1" w:themeFillShade="D9"/>
          </w:tcPr>
          <w:p w14:paraId="72E04DC6" w14:textId="77777777" w:rsidR="00DD2A1D" w:rsidRPr="003907AC" w:rsidRDefault="00DD2A1D" w:rsidP="00DD2A1D">
            <w:pPr>
              <w:pStyle w:val="Tabletext"/>
            </w:pPr>
            <w:r w:rsidRPr="003907AC">
              <w:t>Electricity Statement of Opportunities</w:t>
            </w:r>
          </w:p>
        </w:tc>
      </w:tr>
      <w:tr w:rsidR="00DD2A1D" w:rsidRPr="003907AC" w14:paraId="34A161EA" w14:textId="77777777" w:rsidTr="00DD2A1D">
        <w:tc>
          <w:tcPr>
            <w:tcW w:w="3113" w:type="dxa"/>
            <w:shd w:val="clear" w:color="auto" w:fill="D9D9D9" w:themeFill="background1" w:themeFillShade="D9"/>
          </w:tcPr>
          <w:p w14:paraId="0AE51423" w14:textId="77777777" w:rsidR="00DD2A1D" w:rsidRPr="003907AC" w:rsidRDefault="00DD2A1D" w:rsidP="00DD2A1D">
            <w:pPr>
              <w:pStyle w:val="Tabletext"/>
            </w:pPr>
            <w:r w:rsidRPr="003907AC">
              <w:t>ESV</w:t>
            </w:r>
          </w:p>
        </w:tc>
        <w:tc>
          <w:tcPr>
            <w:tcW w:w="5760" w:type="dxa"/>
            <w:shd w:val="clear" w:color="auto" w:fill="D9D9D9" w:themeFill="background1" w:themeFillShade="D9"/>
          </w:tcPr>
          <w:p w14:paraId="1142396A" w14:textId="77777777" w:rsidR="00DD2A1D" w:rsidRPr="003907AC" w:rsidRDefault="00DD2A1D" w:rsidP="00DD2A1D">
            <w:pPr>
              <w:pStyle w:val="Tabletext"/>
            </w:pPr>
            <w:r w:rsidRPr="003907AC">
              <w:t>Energy Safe Victoria</w:t>
            </w:r>
          </w:p>
        </w:tc>
      </w:tr>
      <w:tr w:rsidR="00DD2A1D" w:rsidRPr="003907AC" w14:paraId="6ED47091" w14:textId="77777777" w:rsidTr="00DD2A1D">
        <w:tc>
          <w:tcPr>
            <w:tcW w:w="3113" w:type="dxa"/>
            <w:shd w:val="clear" w:color="auto" w:fill="D9D9D9" w:themeFill="background1" w:themeFillShade="D9"/>
          </w:tcPr>
          <w:p w14:paraId="2E360FA5" w14:textId="77777777" w:rsidR="00DD2A1D" w:rsidRPr="003907AC" w:rsidRDefault="00DD2A1D" w:rsidP="00DD2A1D">
            <w:pPr>
              <w:pStyle w:val="Tabletext"/>
            </w:pPr>
            <w:r w:rsidRPr="003907AC">
              <w:t>GED</w:t>
            </w:r>
          </w:p>
        </w:tc>
        <w:tc>
          <w:tcPr>
            <w:tcW w:w="5760" w:type="dxa"/>
            <w:shd w:val="clear" w:color="auto" w:fill="D9D9D9" w:themeFill="background1" w:themeFillShade="D9"/>
          </w:tcPr>
          <w:p w14:paraId="6B030B46" w14:textId="77777777" w:rsidR="00DD2A1D" w:rsidRPr="003907AC" w:rsidRDefault="00DD2A1D" w:rsidP="00DD2A1D">
            <w:pPr>
              <w:pStyle w:val="Tabletext"/>
            </w:pPr>
            <w:r w:rsidRPr="003907AC">
              <w:t>General Environmental Duty</w:t>
            </w:r>
          </w:p>
        </w:tc>
      </w:tr>
      <w:tr w:rsidR="00DD2A1D" w:rsidRPr="003907AC" w14:paraId="1CC97DC6" w14:textId="77777777" w:rsidTr="00DD2A1D">
        <w:tc>
          <w:tcPr>
            <w:tcW w:w="3113" w:type="dxa"/>
            <w:shd w:val="clear" w:color="auto" w:fill="D9D9D9" w:themeFill="background1" w:themeFillShade="D9"/>
          </w:tcPr>
          <w:p w14:paraId="66EF597E" w14:textId="77777777" w:rsidR="00DD2A1D" w:rsidRPr="003907AC" w:rsidRDefault="00DD2A1D" w:rsidP="00DD2A1D">
            <w:pPr>
              <w:pStyle w:val="Tabletext"/>
            </w:pPr>
            <w:r w:rsidRPr="003907AC">
              <w:t>GEMCF</w:t>
            </w:r>
          </w:p>
        </w:tc>
        <w:tc>
          <w:tcPr>
            <w:tcW w:w="5760" w:type="dxa"/>
            <w:shd w:val="clear" w:color="auto" w:fill="D9D9D9" w:themeFill="background1" w:themeFillShade="D9"/>
          </w:tcPr>
          <w:p w14:paraId="0749297E" w14:textId="77777777" w:rsidR="00DD2A1D" w:rsidRPr="003907AC" w:rsidRDefault="00DD2A1D" w:rsidP="00DD2A1D">
            <w:pPr>
              <w:pStyle w:val="Tabletext"/>
            </w:pPr>
            <w:r w:rsidRPr="003907AC">
              <w:t>Gas Emergency Management Consultative Forum</w:t>
            </w:r>
          </w:p>
        </w:tc>
      </w:tr>
      <w:tr w:rsidR="00DD2A1D" w:rsidRPr="003907AC" w14:paraId="2B615862" w14:textId="77777777" w:rsidTr="00DD2A1D">
        <w:tc>
          <w:tcPr>
            <w:tcW w:w="3113" w:type="dxa"/>
            <w:shd w:val="clear" w:color="auto" w:fill="D9D9D9" w:themeFill="background1" w:themeFillShade="D9"/>
          </w:tcPr>
          <w:p w14:paraId="78EAD4D7" w14:textId="77777777" w:rsidR="00DD2A1D" w:rsidRPr="003907AC" w:rsidRDefault="00DD2A1D" w:rsidP="00DD2A1D">
            <w:pPr>
              <w:pStyle w:val="Tabletext"/>
            </w:pPr>
            <w:r w:rsidRPr="003907AC">
              <w:t>GEMG</w:t>
            </w:r>
          </w:p>
        </w:tc>
        <w:tc>
          <w:tcPr>
            <w:tcW w:w="5760" w:type="dxa"/>
            <w:shd w:val="clear" w:color="auto" w:fill="D9D9D9" w:themeFill="background1" w:themeFillShade="D9"/>
          </w:tcPr>
          <w:p w14:paraId="63F439FC" w14:textId="77777777" w:rsidR="00DD2A1D" w:rsidRPr="003907AC" w:rsidRDefault="00DD2A1D" w:rsidP="00DD2A1D">
            <w:pPr>
              <w:pStyle w:val="Tabletext"/>
            </w:pPr>
            <w:r w:rsidRPr="003907AC">
              <w:t>Gas Emergency Management Group</w:t>
            </w:r>
          </w:p>
        </w:tc>
      </w:tr>
      <w:tr w:rsidR="00DD2A1D" w:rsidRPr="003907AC" w14:paraId="4AE33FC1" w14:textId="77777777" w:rsidTr="00DD2A1D">
        <w:tc>
          <w:tcPr>
            <w:tcW w:w="3113" w:type="dxa"/>
            <w:shd w:val="clear" w:color="auto" w:fill="D9D9D9" w:themeFill="background1" w:themeFillShade="D9"/>
          </w:tcPr>
          <w:p w14:paraId="5088674A" w14:textId="77777777" w:rsidR="00DD2A1D" w:rsidRPr="003907AC" w:rsidRDefault="00DD2A1D" w:rsidP="00DD2A1D">
            <w:pPr>
              <w:pStyle w:val="Tabletext"/>
            </w:pPr>
            <w:r w:rsidRPr="003907AC">
              <w:t>ITSP</w:t>
            </w:r>
          </w:p>
        </w:tc>
        <w:tc>
          <w:tcPr>
            <w:tcW w:w="5760" w:type="dxa"/>
            <w:shd w:val="clear" w:color="auto" w:fill="D9D9D9" w:themeFill="background1" w:themeFillShade="D9"/>
          </w:tcPr>
          <w:p w14:paraId="1BEF6ADC" w14:textId="77777777" w:rsidR="00DD2A1D" w:rsidRPr="003907AC" w:rsidRDefault="00DD2A1D" w:rsidP="00DD2A1D">
            <w:pPr>
              <w:pStyle w:val="Tabletext"/>
            </w:pPr>
            <w:r w:rsidRPr="003907AC">
              <w:t xml:space="preserve">Interruption to Supply Process </w:t>
            </w:r>
            <w:r w:rsidRPr="003907AC">
              <w:rPr>
                <w:i/>
                <w:iCs/>
              </w:rPr>
              <w:t>(Gas)</w:t>
            </w:r>
          </w:p>
        </w:tc>
      </w:tr>
      <w:tr w:rsidR="00DD2A1D" w:rsidRPr="003907AC" w14:paraId="232F9046" w14:textId="77777777" w:rsidTr="00DD2A1D">
        <w:tc>
          <w:tcPr>
            <w:tcW w:w="3113" w:type="dxa"/>
            <w:shd w:val="clear" w:color="auto" w:fill="D9D9D9" w:themeFill="background1" w:themeFillShade="D9"/>
          </w:tcPr>
          <w:p w14:paraId="0B11B40C" w14:textId="77777777" w:rsidR="00DD2A1D" w:rsidRPr="003907AC" w:rsidRDefault="00DD2A1D" w:rsidP="00DD2A1D">
            <w:pPr>
              <w:pStyle w:val="Tabletext"/>
            </w:pPr>
            <w:r w:rsidRPr="003907AC">
              <w:t>LFWG</w:t>
            </w:r>
          </w:p>
        </w:tc>
        <w:tc>
          <w:tcPr>
            <w:tcW w:w="5760" w:type="dxa"/>
            <w:shd w:val="clear" w:color="auto" w:fill="D9D9D9" w:themeFill="background1" w:themeFillShade="D9"/>
          </w:tcPr>
          <w:p w14:paraId="4134D72C" w14:textId="77777777" w:rsidR="00DD2A1D" w:rsidRPr="003907AC" w:rsidRDefault="00DD2A1D" w:rsidP="00DD2A1D">
            <w:pPr>
              <w:pStyle w:val="Tabletext"/>
            </w:pPr>
            <w:r w:rsidRPr="003907AC">
              <w:t xml:space="preserve">Liquid Fuels Working Group </w:t>
            </w:r>
            <w:r w:rsidRPr="003907AC">
              <w:rPr>
                <w:i/>
                <w:iCs/>
              </w:rPr>
              <w:t>(Victoria)</w:t>
            </w:r>
          </w:p>
        </w:tc>
      </w:tr>
      <w:tr w:rsidR="00DD2A1D" w:rsidRPr="003907AC" w14:paraId="39BF3D20" w14:textId="77777777" w:rsidTr="00DD2A1D">
        <w:tc>
          <w:tcPr>
            <w:tcW w:w="3113" w:type="dxa"/>
            <w:shd w:val="clear" w:color="auto" w:fill="D9D9D9" w:themeFill="background1" w:themeFillShade="D9"/>
          </w:tcPr>
          <w:p w14:paraId="72BE865F" w14:textId="77777777" w:rsidR="00DD2A1D" w:rsidRPr="003907AC" w:rsidRDefault="00DD2A1D" w:rsidP="00DD2A1D">
            <w:pPr>
              <w:pStyle w:val="Tabletext"/>
            </w:pPr>
            <w:r w:rsidRPr="003907AC">
              <w:t>LOR</w:t>
            </w:r>
          </w:p>
        </w:tc>
        <w:tc>
          <w:tcPr>
            <w:tcW w:w="5760" w:type="dxa"/>
            <w:shd w:val="clear" w:color="auto" w:fill="D9D9D9" w:themeFill="background1" w:themeFillShade="D9"/>
          </w:tcPr>
          <w:p w14:paraId="1235EC84" w14:textId="77777777" w:rsidR="00DD2A1D" w:rsidRPr="003907AC" w:rsidRDefault="00DD2A1D" w:rsidP="00DD2A1D">
            <w:pPr>
              <w:pStyle w:val="Tabletext"/>
            </w:pPr>
            <w:r w:rsidRPr="003907AC">
              <w:t>Lack of Reserve</w:t>
            </w:r>
          </w:p>
        </w:tc>
      </w:tr>
      <w:tr w:rsidR="00DD2A1D" w:rsidRPr="003907AC" w14:paraId="2C89103C" w14:textId="77777777" w:rsidTr="00DD2A1D">
        <w:tc>
          <w:tcPr>
            <w:tcW w:w="3113" w:type="dxa"/>
            <w:shd w:val="clear" w:color="auto" w:fill="D9D9D9" w:themeFill="background1" w:themeFillShade="D9"/>
          </w:tcPr>
          <w:p w14:paraId="7898BECD" w14:textId="77777777" w:rsidR="00DD2A1D" w:rsidRPr="003907AC" w:rsidRDefault="00DD2A1D" w:rsidP="00DD2A1D">
            <w:pPr>
              <w:pStyle w:val="Tabletext"/>
            </w:pPr>
            <w:r w:rsidRPr="003907AC">
              <w:t>MEC</w:t>
            </w:r>
          </w:p>
        </w:tc>
        <w:tc>
          <w:tcPr>
            <w:tcW w:w="5760" w:type="dxa"/>
            <w:shd w:val="clear" w:color="auto" w:fill="D9D9D9" w:themeFill="background1" w:themeFillShade="D9"/>
          </w:tcPr>
          <w:p w14:paraId="16DCB7EF" w14:textId="77777777" w:rsidR="00DD2A1D" w:rsidRPr="003907AC" w:rsidRDefault="00DD2A1D" w:rsidP="00DD2A1D">
            <w:pPr>
              <w:pStyle w:val="Tabletext"/>
            </w:pPr>
            <w:r w:rsidRPr="003907AC">
              <w:t>Major Electricity Companies</w:t>
            </w:r>
          </w:p>
        </w:tc>
      </w:tr>
      <w:tr w:rsidR="00DD2A1D" w:rsidRPr="003907AC" w14:paraId="2E242DEE" w14:textId="77777777" w:rsidTr="00DD2A1D">
        <w:tc>
          <w:tcPr>
            <w:tcW w:w="3113" w:type="dxa"/>
            <w:shd w:val="clear" w:color="auto" w:fill="D9D9D9" w:themeFill="background1" w:themeFillShade="D9"/>
          </w:tcPr>
          <w:p w14:paraId="2140A16B" w14:textId="77777777" w:rsidR="00DD2A1D" w:rsidRPr="003907AC" w:rsidRDefault="00DD2A1D" w:rsidP="00DD2A1D">
            <w:pPr>
              <w:pStyle w:val="Tabletext"/>
            </w:pPr>
            <w:r w:rsidRPr="003907AC">
              <w:t>MHF</w:t>
            </w:r>
          </w:p>
        </w:tc>
        <w:tc>
          <w:tcPr>
            <w:tcW w:w="5760" w:type="dxa"/>
            <w:shd w:val="clear" w:color="auto" w:fill="D9D9D9" w:themeFill="background1" w:themeFillShade="D9"/>
          </w:tcPr>
          <w:p w14:paraId="477D549F" w14:textId="77777777" w:rsidR="00DD2A1D" w:rsidRPr="003907AC" w:rsidRDefault="00DD2A1D" w:rsidP="00DD2A1D">
            <w:pPr>
              <w:pStyle w:val="Tabletext"/>
            </w:pPr>
            <w:r w:rsidRPr="003907AC">
              <w:t>Major Hazard Facility</w:t>
            </w:r>
          </w:p>
        </w:tc>
      </w:tr>
      <w:tr w:rsidR="00DD2A1D" w:rsidRPr="003907AC" w14:paraId="7BF529AB" w14:textId="77777777" w:rsidTr="00DD2A1D">
        <w:tc>
          <w:tcPr>
            <w:tcW w:w="3113" w:type="dxa"/>
            <w:shd w:val="clear" w:color="auto" w:fill="D9D9D9" w:themeFill="background1" w:themeFillShade="D9"/>
          </w:tcPr>
          <w:p w14:paraId="3D02D8F4" w14:textId="77777777" w:rsidR="00DD2A1D" w:rsidRPr="003907AC" w:rsidRDefault="00DD2A1D" w:rsidP="00DD2A1D">
            <w:pPr>
              <w:pStyle w:val="Tabletext"/>
            </w:pPr>
            <w:r w:rsidRPr="003907AC">
              <w:t>NEM</w:t>
            </w:r>
          </w:p>
        </w:tc>
        <w:tc>
          <w:tcPr>
            <w:tcW w:w="5760" w:type="dxa"/>
            <w:shd w:val="clear" w:color="auto" w:fill="D9D9D9" w:themeFill="background1" w:themeFillShade="D9"/>
          </w:tcPr>
          <w:p w14:paraId="3149EC26" w14:textId="77777777" w:rsidR="00DD2A1D" w:rsidRPr="003907AC" w:rsidRDefault="00DD2A1D" w:rsidP="00DD2A1D">
            <w:pPr>
              <w:pStyle w:val="Tabletext"/>
            </w:pPr>
            <w:r w:rsidRPr="003907AC">
              <w:t>National Electricity Market</w:t>
            </w:r>
          </w:p>
        </w:tc>
      </w:tr>
      <w:tr w:rsidR="00DD2A1D" w:rsidRPr="003907AC" w14:paraId="03B7F876" w14:textId="77777777" w:rsidTr="00DD2A1D">
        <w:tc>
          <w:tcPr>
            <w:tcW w:w="3113" w:type="dxa"/>
            <w:shd w:val="clear" w:color="auto" w:fill="D9D9D9" w:themeFill="background1" w:themeFillShade="D9"/>
          </w:tcPr>
          <w:p w14:paraId="074C8A59" w14:textId="77777777" w:rsidR="00DD2A1D" w:rsidRPr="003907AC" w:rsidRDefault="00DD2A1D" w:rsidP="00DD2A1D">
            <w:pPr>
              <w:pStyle w:val="Tabletext"/>
            </w:pPr>
            <w:r w:rsidRPr="003907AC">
              <w:t>NEMEMF</w:t>
            </w:r>
          </w:p>
        </w:tc>
        <w:tc>
          <w:tcPr>
            <w:tcW w:w="5760" w:type="dxa"/>
            <w:shd w:val="clear" w:color="auto" w:fill="D9D9D9" w:themeFill="background1" w:themeFillShade="D9"/>
          </w:tcPr>
          <w:p w14:paraId="1E642A50" w14:textId="77777777" w:rsidR="00DD2A1D" w:rsidRPr="003907AC" w:rsidRDefault="00DD2A1D" w:rsidP="00DD2A1D">
            <w:pPr>
              <w:pStyle w:val="Tabletext"/>
            </w:pPr>
            <w:r w:rsidRPr="003907AC">
              <w:t>National Electricity Market Emergency Management Forum</w:t>
            </w:r>
          </w:p>
        </w:tc>
      </w:tr>
      <w:tr w:rsidR="00DD2A1D" w:rsidRPr="003907AC" w14:paraId="028B8851" w14:textId="77777777" w:rsidTr="00DD2A1D">
        <w:tc>
          <w:tcPr>
            <w:tcW w:w="3113" w:type="dxa"/>
            <w:shd w:val="clear" w:color="auto" w:fill="D9D9D9" w:themeFill="background1" w:themeFillShade="D9"/>
          </w:tcPr>
          <w:p w14:paraId="43C37F97" w14:textId="77777777" w:rsidR="00DD2A1D" w:rsidRPr="003907AC" w:rsidRDefault="00DD2A1D" w:rsidP="00DD2A1D">
            <w:pPr>
              <w:pStyle w:val="Tabletext"/>
            </w:pPr>
            <w:r w:rsidRPr="003907AC">
              <w:lastRenderedPageBreak/>
              <w:t>NGERAC</w:t>
            </w:r>
          </w:p>
        </w:tc>
        <w:tc>
          <w:tcPr>
            <w:tcW w:w="5760" w:type="dxa"/>
            <w:shd w:val="clear" w:color="auto" w:fill="D9D9D9" w:themeFill="background1" w:themeFillShade="D9"/>
          </w:tcPr>
          <w:p w14:paraId="3E028A97" w14:textId="77777777" w:rsidR="00DD2A1D" w:rsidRPr="003907AC" w:rsidRDefault="00DD2A1D" w:rsidP="00DD2A1D">
            <w:pPr>
              <w:pStyle w:val="Tabletext"/>
            </w:pPr>
            <w:r w:rsidRPr="003907AC">
              <w:t>National Gas Emergency Response Advisory Committee</w:t>
            </w:r>
          </w:p>
        </w:tc>
      </w:tr>
      <w:tr w:rsidR="00DD2A1D" w:rsidRPr="003907AC" w14:paraId="72F33AED" w14:textId="77777777" w:rsidTr="00DD2A1D">
        <w:tc>
          <w:tcPr>
            <w:tcW w:w="3113" w:type="dxa"/>
            <w:shd w:val="clear" w:color="auto" w:fill="D9D9D9" w:themeFill="background1" w:themeFillShade="D9"/>
          </w:tcPr>
          <w:p w14:paraId="3DF94D83" w14:textId="77777777" w:rsidR="00DD2A1D" w:rsidRPr="003907AC" w:rsidRDefault="00DD2A1D" w:rsidP="00DD2A1D">
            <w:pPr>
              <w:pStyle w:val="Tabletext"/>
            </w:pPr>
            <w:r w:rsidRPr="003907AC">
              <w:t>NGERP</w:t>
            </w:r>
          </w:p>
        </w:tc>
        <w:tc>
          <w:tcPr>
            <w:tcW w:w="5760" w:type="dxa"/>
            <w:shd w:val="clear" w:color="auto" w:fill="D9D9D9" w:themeFill="background1" w:themeFillShade="D9"/>
          </w:tcPr>
          <w:p w14:paraId="201F7C60" w14:textId="77777777" w:rsidR="00DD2A1D" w:rsidRPr="003907AC" w:rsidRDefault="00DD2A1D" w:rsidP="00DD2A1D">
            <w:pPr>
              <w:pStyle w:val="Tabletext"/>
            </w:pPr>
            <w:r w:rsidRPr="003907AC">
              <w:t>National Gas Emergency Response Protocol</w:t>
            </w:r>
          </w:p>
        </w:tc>
      </w:tr>
      <w:tr w:rsidR="00DD2A1D" w:rsidRPr="003907AC" w14:paraId="49BDB9AE" w14:textId="77777777" w:rsidTr="00DD2A1D">
        <w:tc>
          <w:tcPr>
            <w:tcW w:w="3113" w:type="dxa"/>
            <w:shd w:val="clear" w:color="auto" w:fill="D9D9D9" w:themeFill="background1" w:themeFillShade="D9"/>
          </w:tcPr>
          <w:p w14:paraId="78287DF2" w14:textId="77777777" w:rsidR="00DD2A1D" w:rsidRPr="003907AC" w:rsidRDefault="00DD2A1D" w:rsidP="00DD2A1D">
            <w:pPr>
              <w:pStyle w:val="Tabletext"/>
            </w:pPr>
            <w:r w:rsidRPr="003907AC">
              <w:t xml:space="preserve">NGR </w:t>
            </w:r>
          </w:p>
        </w:tc>
        <w:tc>
          <w:tcPr>
            <w:tcW w:w="5760" w:type="dxa"/>
            <w:shd w:val="clear" w:color="auto" w:fill="D9D9D9" w:themeFill="background1" w:themeFillShade="D9"/>
          </w:tcPr>
          <w:p w14:paraId="4474A3D3" w14:textId="77777777" w:rsidR="00DD2A1D" w:rsidRPr="003907AC" w:rsidRDefault="00DD2A1D" w:rsidP="00DD2A1D">
            <w:pPr>
              <w:pStyle w:val="Tabletext"/>
            </w:pPr>
            <w:r w:rsidRPr="003907AC">
              <w:t>National Gas Rules</w:t>
            </w:r>
          </w:p>
        </w:tc>
      </w:tr>
      <w:tr w:rsidR="00DD2A1D" w:rsidRPr="003907AC" w14:paraId="4560B4A3" w14:textId="77777777" w:rsidTr="00DD2A1D">
        <w:tc>
          <w:tcPr>
            <w:tcW w:w="3113" w:type="dxa"/>
            <w:shd w:val="clear" w:color="auto" w:fill="D9D9D9" w:themeFill="background1" w:themeFillShade="D9"/>
          </w:tcPr>
          <w:p w14:paraId="0E8934DC" w14:textId="77777777" w:rsidR="00DD2A1D" w:rsidRPr="003907AC" w:rsidRDefault="00DD2A1D" w:rsidP="00DD2A1D">
            <w:pPr>
              <w:pStyle w:val="Tabletext"/>
            </w:pPr>
            <w:r w:rsidRPr="003907AC">
              <w:t>NLFERP</w:t>
            </w:r>
          </w:p>
        </w:tc>
        <w:tc>
          <w:tcPr>
            <w:tcW w:w="5760" w:type="dxa"/>
            <w:shd w:val="clear" w:color="auto" w:fill="D9D9D9" w:themeFill="background1" w:themeFillShade="D9"/>
          </w:tcPr>
          <w:p w14:paraId="40BD9DEF" w14:textId="77777777" w:rsidR="00DD2A1D" w:rsidRPr="003907AC" w:rsidRDefault="00DD2A1D" w:rsidP="00DD2A1D">
            <w:pPr>
              <w:pStyle w:val="Tabletext"/>
            </w:pPr>
            <w:r w:rsidRPr="003907AC">
              <w:t>National Liquid Fuel Emergency Response Plan</w:t>
            </w:r>
          </w:p>
        </w:tc>
      </w:tr>
      <w:tr w:rsidR="00DD2A1D" w:rsidRPr="003907AC" w14:paraId="756BA08E" w14:textId="77777777" w:rsidTr="00DD2A1D">
        <w:tc>
          <w:tcPr>
            <w:tcW w:w="3113" w:type="dxa"/>
            <w:shd w:val="clear" w:color="auto" w:fill="D9D9D9" w:themeFill="background1" w:themeFillShade="D9"/>
          </w:tcPr>
          <w:p w14:paraId="29FEB0C0" w14:textId="77777777" w:rsidR="00DD2A1D" w:rsidRPr="003907AC" w:rsidRDefault="00DD2A1D" w:rsidP="00DD2A1D">
            <w:pPr>
              <w:pStyle w:val="Tabletext"/>
            </w:pPr>
            <w:r w:rsidRPr="003907AC">
              <w:t>NOSEC</w:t>
            </w:r>
          </w:p>
        </w:tc>
        <w:tc>
          <w:tcPr>
            <w:tcW w:w="5760" w:type="dxa"/>
            <w:shd w:val="clear" w:color="auto" w:fill="D9D9D9" w:themeFill="background1" w:themeFillShade="D9"/>
          </w:tcPr>
          <w:p w14:paraId="2ACF7FEE" w14:textId="77777777" w:rsidR="00DD2A1D" w:rsidRPr="003907AC" w:rsidRDefault="00DD2A1D" w:rsidP="00DD2A1D">
            <w:pPr>
              <w:pStyle w:val="Tabletext"/>
            </w:pPr>
            <w:r w:rsidRPr="003907AC">
              <w:t>National Oil Supplies Emergency Committee</w:t>
            </w:r>
          </w:p>
        </w:tc>
      </w:tr>
      <w:tr w:rsidR="00DD2A1D" w:rsidRPr="003907AC" w14:paraId="139E75DC" w14:textId="77777777" w:rsidTr="00DD2A1D">
        <w:tc>
          <w:tcPr>
            <w:tcW w:w="3113" w:type="dxa"/>
            <w:shd w:val="clear" w:color="auto" w:fill="D9D9D9" w:themeFill="background1" w:themeFillShade="D9"/>
          </w:tcPr>
          <w:p w14:paraId="3CFB5249" w14:textId="77777777" w:rsidR="00DD2A1D" w:rsidRPr="003907AC" w:rsidRDefault="00DD2A1D" w:rsidP="00DD2A1D">
            <w:pPr>
              <w:pStyle w:val="Tabletext"/>
            </w:pPr>
            <w:r w:rsidRPr="003907AC">
              <w:t>POEL</w:t>
            </w:r>
          </w:p>
        </w:tc>
        <w:tc>
          <w:tcPr>
            <w:tcW w:w="5760" w:type="dxa"/>
            <w:shd w:val="clear" w:color="auto" w:fill="D9D9D9" w:themeFill="background1" w:themeFillShade="D9"/>
          </w:tcPr>
          <w:p w14:paraId="1090872D" w14:textId="77777777" w:rsidR="00DD2A1D" w:rsidRPr="003907AC" w:rsidRDefault="00DD2A1D" w:rsidP="00DD2A1D">
            <w:pPr>
              <w:pStyle w:val="Tabletext"/>
            </w:pPr>
            <w:r w:rsidRPr="003907AC">
              <w:t>Private Overhead Electric Line scheme</w:t>
            </w:r>
          </w:p>
        </w:tc>
      </w:tr>
      <w:tr w:rsidR="00DD2A1D" w:rsidRPr="003907AC" w14:paraId="1CFA60DE" w14:textId="77777777" w:rsidTr="00DD2A1D">
        <w:tc>
          <w:tcPr>
            <w:tcW w:w="3113" w:type="dxa"/>
            <w:shd w:val="clear" w:color="auto" w:fill="D9D9D9" w:themeFill="background1" w:themeFillShade="D9"/>
          </w:tcPr>
          <w:p w14:paraId="411C285A" w14:textId="77777777" w:rsidR="00DD2A1D" w:rsidRPr="003907AC" w:rsidRDefault="00DD2A1D" w:rsidP="00DD2A1D">
            <w:pPr>
              <w:pStyle w:val="Tabletext"/>
            </w:pPr>
            <w:r w:rsidRPr="003907AC">
              <w:t>PSEMP</w:t>
            </w:r>
          </w:p>
        </w:tc>
        <w:tc>
          <w:tcPr>
            <w:tcW w:w="5760" w:type="dxa"/>
            <w:shd w:val="clear" w:color="auto" w:fill="D9D9D9" w:themeFill="background1" w:themeFillShade="D9"/>
          </w:tcPr>
          <w:p w14:paraId="7044DDB5" w14:textId="77777777" w:rsidR="00DD2A1D" w:rsidRPr="003907AC" w:rsidRDefault="00DD2A1D" w:rsidP="00DD2A1D">
            <w:pPr>
              <w:pStyle w:val="Tabletext"/>
            </w:pPr>
            <w:r w:rsidRPr="003907AC">
              <w:t>Power System Emergency Management Plan</w:t>
            </w:r>
          </w:p>
        </w:tc>
      </w:tr>
      <w:tr w:rsidR="00DD2A1D" w:rsidRPr="003907AC" w14:paraId="11144461" w14:textId="77777777" w:rsidTr="00DD2A1D">
        <w:tc>
          <w:tcPr>
            <w:tcW w:w="3113" w:type="dxa"/>
            <w:shd w:val="clear" w:color="auto" w:fill="D9D9D9" w:themeFill="background1" w:themeFillShade="D9"/>
          </w:tcPr>
          <w:p w14:paraId="4C62DEB8" w14:textId="77777777" w:rsidR="00DD2A1D" w:rsidRPr="003907AC" w:rsidRDefault="00DD2A1D" w:rsidP="00DD2A1D">
            <w:pPr>
              <w:pStyle w:val="Tabletext"/>
            </w:pPr>
            <w:r w:rsidRPr="003907AC">
              <w:t>RECFL</w:t>
            </w:r>
          </w:p>
        </w:tc>
        <w:tc>
          <w:tcPr>
            <w:tcW w:w="5760" w:type="dxa"/>
            <w:shd w:val="clear" w:color="auto" w:fill="D9D9D9" w:themeFill="background1" w:themeFillShade="D9"/>
          </w:tcPr>
          <w:p w14:paraId="080709EB" w14:textId="77777777" w:rsidR="00DD2A1D" w:rsidRPr="003907AC" w:rsidRDefault="00DD2A1D" w:rsidP="00DD2A1D">
            <w:pPr>
              <w:pStyle w:val="Tabletext"/>
            </w:pPr>
            <w:r w:rsidRPr="003907AC">
              <w:t>Rapid Earth Fault Current Limiters</w:t>
            </w:r>
          </w:p>
        </w:tc>
      </w:tr>
      <w:tr w:rsidR="00DD2A1D" w:rsidRPr="003907AC" w14:paraId="147C8A66" w14:textId="77777777" w:rsidTr="00DD2A1D">
        <w:tc>
          <w:tcPr>
            <w:tcW w:w="3113" w:type="dxa"/>
            <w:shd w:val="clear" w:color="auto" w:fill="D9D9D9" w:themeFill="background1" w:themeFillShade="D9"/>
          </w:tcPr>
          <w:p w14:paraId="51900611" w14:textId="77777777" w:rsidR="00DD2A1D" w:rsidRPr="003907AC" w:rsidRDefault="00DD2A1D" w:rsidP="00DD2A1D">
            <w:pPr>
              <w:pStyle w:val="Tabletext"/>
            </w:pPr>
            <w:r w:rsidRPr="003907AC">
              <w:t>SC-E</w:t>
            </w:r>
          </w:p>
        </w:tc>
        <w:tc>
          <w:tcPr>
            <w:tcW w:w="5760" w:type="dxa"/>
            <w:shd w:val="clear" w:color="auto" w:fill="D9D9D9" w:themeFill="background1" w:themeFillShade="D9"/>
          </w:tcPr>
          <w:p w14:paraId="1D45A94C" w14:textId="77777777" w:rsidR="00DD2A1D" w:rsidRPr="003907AC" w:rsidRDefault="00DD2A1D" w:rsidP="00DD2A1D">
            <w:pPr>
              <w:pStyle w:val="Tabletext"/>
            </w:pPr>
            <w:r w:rsidRPr="003907AC">
              <w:t>Class 2 State Controller – Energy</w:t>
            </w:r>
          </w:p>
        </w:tc>
      </w:tr>
      <w:tr w:rsidR="00DD2A1D" w:rsidRPr="003907AC" w14:paraId="419EAEC2" w14:textId="77777777" w:rsidTr="00DD2A1D">
        <w:tc>
          <w:tcPr>
            <w:tcW w:w="3113" w:type="dxa"/>
            <w:shd w:val="clear" w:color="auto" w:fill="D9D9D9" w:themeFill="background1" w:themeFillShade="D9"/>
          </w:tcPr>
          <w:p w14:paraId="08D630F7" w14:textId="77777777" w:rsidR="00DD2A1D" w:rsidRPr="003907AC" w:rsidRDefault="00DD2A1D" w:rsidP="00DD2A1D">
            <w:pPr>
              <w:pStyle w:val="Tabletext"/>
            </w:pPr>
            <w:r w:rsidRPr="003907AC">
              <w:t>SISP</w:t>
            </w:r>
          </w:p>
        </w:tc>
        <w:tc>
          <w:tcPr>
            <w:tcW w:w="5760" w:type="dxa"/>
            <w:shd w:val="clear" w:color="auto" w:fill="D9D9D9" w:themeFill="background1" w:themeFillShade="D9"/>
          </w:tcPr>
          <w:p w14:paraId="1C213944" w14:textId="77777777" w:rsidR="00DD2A1D" w:rsidRPr="003907AC" w:rsidRDefault="00DD2A1D" w:rsidP="00DD2A1D">
            <w:pPr>
              <w:pStyle w:val="Tabletext"/>
            </w:pPr>
            <w:r w:rsidRPr="003907AC">
              <w:t>Single Industry Spokesperson Protocol</w:t>
            </w:r>
          </w:p>
        </w:tc>
      </w:tr>
      <w:tr w:rsidR="00DD2A1D" w:rsidRPr="003907AC" w14:paraId="24B663F9" w14:textId="77777777" w:rsidTr="00DD2A1D">
        <w:tc>
          <w:tcPr>
            <w:tcW w:w="3113" w:type="dxa"/>
            <w:shd w:val="clear" w:color="auto" w:fill="D9D9D9" w:themeFill="background1" w:themeFillShade="D9"/>
          </w:tcPr>
          <w:p w14:paraId="7FA32622" w14:textId="77777777" w:rsidR="00DD2A1D" w:rsidRPr="003907AC" w:rsidRDefault="00DD2A1D" w:rsidP="00DD2A1D">
            <w:pPr>
              <w:pStyle w:val="Tabletext"/>
            </w:pPr>
            <w:r w:rsidRPr="003907AC">
              <w:t xml:space="preserve">SRN </w:t>
            </w:r>
          </w:p>
        </w:tc>
        <w:tc>
          <w:tcPr>
            <w:tcW w:w="5760" w:type="dxa"/>
            <w:shd w:val="clear" w:color="auto" w:fill="D9D9D9" w:themeFill="background1" w:themeFillShade="D9"/>
          </w:tcPr>
          <w:p w14:paraId="30FAE881" w14:textId="77777777" w:rsidR="00DD2A1D" w:rsidRPr="003907AC" w:rsidRDefault="00DD2A1D" w:rsidP="00DD2A1D">
            <w:pPr>
              <w:pStyle w:val="Tabletext"/>
            </w:pPr>
            <w:r w:rsidRPr="003907AC">
              <w:t>Sector Resilience Network</w:t>
            </w:r>
          </w:p>
        </w:tc>
      </w:tr>
      <w:tr w:rsidR="00DD2A1D" w:rsidRPr="003907AC" w14:paraId="284FDA6D" w14:textId="77777777" w:rsidTr="00DD2A1D">
        <w:tc>
          <w:tcPr>
            <w:tcW w:w="3113" w:type="dxa"/>
            <w:shd w:val="clear" w:color="auto" w:fill="D9D9D9" w:themeFill="background1" w:themeFillShade="D9"/>
          </w:tcPr>
          <w:p w14:paraId="04260966" w14:textId="77777777" w:rsidR="00DD2A1D" w:rsidRPr="003907AC" w:rsidRDefault="00DD2A1D" w:rsidP="00DD2A1D">
            <w:pPr>
              <w:pStyle w:val="Tabletext"/>
            </w:pPr>
            <w:r w:rsidRPr="003907AC">
              <w:t>VEEC</w:t>
            </w:r>
          </w:p>
        </w:tc>
        <w:tc>
          <w:tcPr>
            <w:tcW w:w="5760" w:type="dxa"/>
            <w:shd w:val="clear" w:color="auto" w:fill="D9D9D9" w:themeFill="background1" w:themeFillShade="D9"/>
          </w:tcPr>
          <w:p w14:paraId="42433B89" w14:textId="77777777" w:rsidR="00DD2A1D" w:rsidRPr="003907AC" w:rsidRDefault="00DD2A1D" w:rsidP="00DD2A1D">
            <w:pPr>
              <w:pStyle w:val="Tabletext"/>
            </w:pPr>
            <w:r w:rsidRPr="003907AC">
              <w:t>Victorian Electricity Emergency Communications Committee</w:t>
            </w:r>
          </w:p>
        </w:tc>
      </w:tr>
      <w:tr w:rsidR="00DD2A1D" w:rsidRPr="003907AC" w14:paraId="6B573935" w14:textId="77777777" w:rsidTr="00DD2A1D">
        <w:tc>
          <w:tcPr>
            <w:tcW w:w="3113" w:type="dxa"/>
            <w:shd w:val="clear" w:color="auto" w:fill="D9D9D9" w:themeFill="background1" w:themeFillShade="D9"/>
          </w:tcPr>
          <w:p w14:paraId="1A7B5168" w14:textId="77777777" w:rsidR="00DD2A1D" w:rsidRPr="003907AC" w:rsidRDefault="00DD2A1D" w:rsidP="00DD2A1D">
            <w:pPr>
              <w:pStyle w:val="Tabletext"/>
            </w:pPr>
            <w:r w:rsidRPr="003907AC">
              <w:t>VEECP</w:t>
            </w:r>
          </w:p>
        </w:tc>
        <w:tc>
          <w:tcPr>
            <w:tcW w:w="5760" w:type="dxa"/>
            <w:shd w:val="clear" w:color="auto" w:fill="D9D9D9" w:themeFill="background1" w:themeFillShade="D9"/>
          </w:tcPr>
          <w:p w14:paraId="07EEB30A" w14:textId="77777777" w:rsidR="00DD2A1D" w:rsidRPr="003907AC" w:rsidRDefault="00DD2A1D" w:rsidP="00DD2A1D">
            <w:pPr>
              <w:pStyle w:val="Tabletext"/>
            </w:pPr>
            <w:r w:rsidRPr="003907AC">
              <w:t>Victorian Electricity Emergency Communications Protocol</w:t>
            </w:r>
          </w:p>
        </w:tc>
      </w:tr>
      <w:tr w:rsidR="00DD2A1D" w:rsidRPr="00E1303B" w14:paraId="21CD3B75" w14:textId="77777777" w:rsidTr="00DD2A1D">
        <w:tc>
          <w:tcPr>
            <w:tcW w:w="3113" w:type="dxa"/>
            <w:shd w:val="clear" w:color="auto" w:fill="D9D9D9" w:themeFill="background1" w:themeFillShade="D9"/>
          </w:tcPr>
          <w:p w14:paraId="0C3A9766" w14:textId="77777777" w:rsidR="00DD2A1D" w:rsidRPr="003907AC" w:rsidRDefault="00DD2A1D" w:rsidP="00DD2A1D">
            <w:pPr>
              <w:pStyle w:val="Tabletext"/>
            </w:pPr>
            <w:r w:rsidRPr="003907AC">
              <w:t>VGECP</w:t>
            </w:r>
          </w:p>
        </w:tc>
        <w:tc>
          <w:tcPr>
            <w:tcW w:w="5760" w:type="dxa"/>
            <w:shd w:val="clear" w:color="auto" w:fill="D9D9D9" w:themeFill="background1" w:themeFillShade="D9"/>
          </w:tcPr>
          <w:p w14:paraId="3ECEE252" w14:textId="77777777" w:rsidR="00DD2A1D" w:rsidRPr="00E1303B" w:rsidRDefault="00DD2A1D" w:rsidP="00DD2A1D">
            <w:pPr>
              <w:pStyle w:val="Tabletext"/>
            </w:pPr>
            <w:r w:rsidRPr="003907AC">
              <w:t>Victorian Gas Emergency Communications Protocol</w:t>
            </w:r>
          </w:p>
        </w:tc>
      </w:tr>
    </w:tbl>
    <w:p w14:paraId="77EB084C" w14:textId="77777777" w:rsidR="00DD2A1D" w:rsidRDefault="00DD2A1D" w:rsidP="00DD2A1D"/>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1782"/>
    <w:bookmarkEnd w:id="1783"/>
    <w:bookmarkEnd w:id="1784"/>
    <w:bookmarkEnd w:id="1785"/>
    <w:bookmarkEnd w:id="1786"/>
    <w:p w14:paraId="4A9E238A" w14:textId="3951A04A" w:rsidR="00672C03" w:rsidRPr="00BA6C2B" w:rsidRDefault="00672C03" w:rsidP="00BA6C2B"/>
    <w:sectPr w:rsidR="00672C03" w:rsidRPr="00BA6C2B" w:rsidSect="00BA6C2B">
      <w:headerReference w:type="even" r:id="rId62"/>
      <w:headerReference w:type="default" r:id="rId63"/>
      <w:footerReference w:type="default" r:id="rId64"/>
      <w:headerReference w:type="first" r:id="rId65"/>
      <w:footerReference w:type="first" r:id="rId6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D408" w14:textId="77777777" w:rsidR="003D03E4" w:rsidRDefault="003D03E4">
      <w:r>
        <w:separator/>
      </w:r>
    </w:p>
    <w:p w14:paraId="1511208F" w14:textId="77777777" w:rsidR="003D03E4" w:rsidRDefault="003D03E4"/>
  </w:endnote>
  <w:endnote w:type="continuationSeparator" w:id="0">
    <w:p w14:paraId="1721FCC5" w14:textId="77777777" w:rsidR="003D03E4" w:rsidRDefault="003D03E4">
      <w:r>
        <w:continuationSeparator/>
      </w:r>
    </w:p>
    <w:p w14:paraId="0DEAE21E" w14:textId="77777777" w:rsidR="003D03E4" w:rsidRDefault="003D03E4"/>
  </w:endnote>
  <w:endnote w:type="continuationNotice" w:id="1">
    <w:p w14:paraId="738FDF16" w14:textId="77777777" w:rsidR="003D03E4" w:rsidRDefault="003D03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auto"/>
    <w:notTrueType/>
    <w:pitch w:val="variable"/>
    <w:sig w:usb0="A00002FF" w:usb1="4000005B" w:usb2="00000000" w:usb3="00000000" w:csb0="000000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469E3" w14:paraId="4BE62D57" w14:textId="77777777" w:rsidTr="00DD7238">
      <w:trPr>
        <w:trHeight w:val="397"/>
      </w:trPr>
      <w:tc>
        <w:tcPr>
          <w:tcW w:w="340" w:type="dxa"/>
        </w:tcPr>
        <w:p w14:paraId="32ABE6C6" w14:textId="42A3DF22" w:rsidR="00A469E3" w:rsidRPr="00D55628" w:rsidRDefault="00A469E3"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1581F9D8" w14:textId="711195D8" w:rsidR="00A469E3" w:rsidRDefault="00A83326" w:rsidP="00810C40">
          <w:pPr>
            <w:pStyle w:val="FooterEven"/>
            <w:rPr>
              <w:rStyle w:val="Bold"/>
            </w:rPr>
          </w:pPr>
          <w:r>
            <w:rPr>
              <w:noProof/>
            </w:rPr>
            <mc:AlternateContent>
              <mc:Choice Requires="wps">
                <w:drawing>
                  <wp:anchor distT="0" distB="0" distL="114300" distR="114300" simplePos="0" relativeHeight="251660288" behindDoc="0" locked="0" layoutInCell="0" allowOverlap="1" wp14:anchorId="28362BB5" wp14:editId="4C3E1ADB">
                    <wp:simplePos x="0" y="0"/>
                    <wp:positionH relativeFrom="page">
                      <wp:posOffset>-935990</wp:posOffset>
                    </wp:positionH>
                    <wp:positionV relativeFrom="page">
                      <wp:posOffset>24765</wp:posOffset>
                    </wp:positionV>
                    <wp:extent cx="7534275" cy="463550"/>
                    <wp:effectExtent l="0" t="0" r="0" b="12700"/>
                    <wp:wrapNone/>
                    <wp:docPr id="1" name="MSIPCM7e8a44c3801b626f6fd5c303"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34275"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9065C" w14:textId="05AE9F9C" w:rsidR="0009542A" w:rsidRPr="00D17372" w:rsidRDefault="00D17372" w:rsidP="00D17372">
                                <w:pPr>
                                  <w:jc w:val="center"/>
                                  <w:rPr>
                                    <w:rFonts w:ascii="Calibri" w:hAnsi="Calibri" w:cs="Calibri"/>
                                    <w:color w:val="000000"/>
                                    <w:sz w:val="24"/>
                                  </w:rPr>
                                </w:pPr>
                                <w:r w:rsidRPr="00D1737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362BB5" id="_x0000_t202" coordsize="21600,21600" o:spt="202" path="m,l,21600r21600,l21600,xe">
                    <v:stroke joinstyle="miter"/>
                    <v:path gradientshapeok="t" o:connecttype="rect"/>
                  </v:shapetype>
                  <v:shape id="MSIPCM7e8a44c3801b626f6fd5c303" o:spid="_x0000_s1026" type="#_x0000_t202" alt="{&quot;HashCode&quot;:-1264680268,&quot;Height&quot;:9999999.0,&quot;Width&quot;:9999999.0,&quot;Placement&quot;:&quot;Footer&quot;,&quot;Index&quot;:&quot;OddAndEven&quot;,&quot;Section&quot;:1,&quot;Top&quot;:0.0,&quot;Left&quot;:0.0}" style="position:absolute;margin-left:-73.7pt;margin-top:1.95pt;width:593.25pt;height:36.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" o:allowincell="f" filled="f" stroked="f" strokeweight=".5pt">
                    <v:textbox inset=",0,,0">
                      <w:txbxContent>
                        <w:p w14:paraId="1F79065C" w14:textId="05AE9F9C" w:rsidR="0009542A" w:rsidRPr="00D17372" w:rsidRDefault="00D17372" w:rsidP="00D17372">
                          <w:pPr>
                            <w:jc w:val="center"/>
                            <w:rPr>
                              <w:rFonts w:ascii="Calibri" w:hAnsi="Calibri" w:cs="Calibri"/>
                              <w:color w:val="000000"/>
                              <w:sz w:val="24"/>
                            </w:rPr>
                          </w:pPr>
                          <w:r w:rsidRPr="00D17372">
                            <w:rPr>
                              <w:rFonts w:ascii="Calibri" w:hAnsi="Calibri" w:cs="Calibri"/>
                              <w:color w:val="000000"/>
                              <w:sz w:val="24"/>
                            </w:rPr>
                            <w:t>OFFICIAL</w:t>
                          </w:r>
                        </w:p>
                      </w:txbxContent>
                    </v:textbox>
                    <w10:wrap anchorx="page" anchory="page"/>
                  </v:shape>
                </w:pict>
              </mc:Fallback>
            </mc:AlternateContent>
          </w:r>
          <w:r w:rsidR="00A469E3">
            <w:rPr>
              <w:rStyle w:val="Bold"/>
            </w:rPr>
            <w:fldChar w:fldCharType="begin"/>
          </w:r>
          <w:r w:rsidR="00A469E3">
            <w:rPr>
              <w:rStyle w:val="Bold"/>
            </w:rPr>
            <w:instrText xml:space="preserve"> DOCPROPERTY  xFooterTitle  \* MERGEFORMAT </w:instrText>
          </w:r>
          <w:r w:rsidR="00A469E3">
            <w:rPr>
              <w:rStyle w:val="Bold"/>
            </w:rPr>
            <w:fldChar w:fldCharType="separate"/>
          </w:r>
          <w:r w:rsidR="00A469E3">
            <w:rPr>
              <w:rStyle w:val="Bold"/>
            </w:rPr>
            <w:t xml:space="preserve">State Emergency Management Plan </w:t>
          </w:r>
          <w:r w:rsidR="00A469E3">
            <w:rPr>
              <w:rStyle w:val="Bold"/>
            </w:rPr>
            <w:fldChar w:fldCharType="end"/>
          </w:r>
        </w:p>
        <w:p w14:paraId="365A93D5" w14:textId="09506522" w:rsidR="00A469E3" w:rsidRPr="00810C40" w:rsidRDefault="00B21C7F" w:rsidP="00810C40">
          <w:pPr>
            <w:pStyle w:val="FooterEven"/>
          </w:pPr>
          <w:r>
            <w:fldChar w:fldCharType="begin"/>
          </w:r>
          <w:r>
            <w:instrText>DOCPROPERTY  xFooterSubtitle  \* MERGEFORMAT</w:instrText>
          </w:r>
          <w:r>
            <w:fldChar w:fldCharType="separate"/>
          </w:r>
          <w:r w:rsidR="00A469E3">
            <w:t>Energy Sub-Plan (2022)</w:t>
          </w:r>
          <w:r>
            <w:fldChar w:fldCharType="end"/>
          </w:r>
        </w:p>
      </w:tc>
    </w:tr>
  </w:tbl>
  <w:p w14:paraId="58665013" w14:textId="33482072" w:rsidR="00A469E3" w:rsidRDefault="00A469E3" w:rsidP="005949B0">
    <w:pPr>
      <w:pStyle w:val="FooterEven"/>
    </w:pPr>
  </w:p>
  <w:p w14:paraId="681AD133" w14:textId="77777777" w:rsidR="00A469E3" w:rsidRPr="00B5221E" w:rsidRDefault="00A469E3" w:rsidP="00B5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469E3" w14:paraId="624BB480" w14:textId="77777777" w:rsidTr="00DD7238">
      <w:trPr>
        <w:trHeight w:val="397"/>
      </w:trPr>
      <w:tc>
        <w:tcPr>
          <w:tcW w:w="9071" w:type="dxa"/>
        </w:tcPr>
        <w:p w14:paraId="2DF9F072" w14:textId="1C24CF4B" w:rsidR="00A469E3" w:rsidRDefault="00A469E3" w:rsidP="00810C40">
          <w:pPr>
            <w:pStyle w:val="FooterOdd"/>
            <w:rPr>
              <w:rStyle w:val="Bold"/>
            </w:rPr>
          </w:pPr>
          <w:r>
            <w:rPr>
              <w:b/>
              <w:noProof/>
            </w:rPr>
            <mc:AlternateContent>
              <mc:Choice Requires="wps">
                <w:drawing>
                  <wp:anchor distT="0" distB="0" distL="114300" distR="114300" simplePos="0" relativeHeight="251655168" behindDoc="0" locked="0" layoutInCell="0" allowOverlap="1" wp14:anchorId="38D52425" wp14:editId="7363B965">
                    <wp:simplePos x="0" y="0"/>
                    <wp:positionH relativeFrom="page">
                      <wp:align>center</wp:align>
                    </wp:positionH>
                    <wp:positionV relativeFrom="page">
                      <wp:align>bottom</wp:align>
                    </wp:positionV>
                    <wp:extent cx="7772400" cy="463550"/>
                    <wp:effectExtent l="0" t="0" r="0" b="12700"/>
                    <wp:wrapNone/>
                    <wp:docPr id="7520" name="MSIPCMfe71435d9f4024ccaf546c9b"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83485" w14:textId="257861F6" w:rsidR="00A469E3" w:rsidRPr="001F7EFB" w:rsidRDefault="00A469E3" w:rsidP="001F7EFB">
                                <w:pPr>
                                  <w:jc w:val="center"/>
                                  <w:rPr>
                                    <w:rFonts w:ascii="Calibri" w:hAnsi="Calibri" w:cs="Calibri"/>
                                    <w:color w:val="000000"/>
                                    <w:sz w:val="24"/>
                                  </w:rPr>
                                </w:pPr>
                                <w:r w:rsidRPr="001F7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D52425" id="_x0000_t202" coordsize="21600,21600" o:spt="202" path="m,l,21600r21600,l21600,xe">
                    <v:stroke joinstyle="miter"/>
                    <v:path gradientshapeok="t" o:connecttype="rect"/>
                  </v:shapetype>
                  <v:shape id="MSIPCMfe71435d9f4024ccaf546c9b" o:spid="_x0000_s1027"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51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PzGECvAgAAWwUAAA4AAAAAAAAA&#10;AAAAAAAALgIAAGRycy9lMm9Eb2MueG1sUEsBAi0AFAAGAAgAAAAhAL4fCrfaAAAABQEAAA8AAAAA&#10;AAAAAAAAAAAACQUAAGRycy9kb3ducmV2LnhtbFBLBQYAAAAABAAEAPMAAAAQBgAAAAA=&#10;" o:allowincell="f" filled="f" stroked="f" strokeweight=".5pt">
                    <v:textbox inset=",0,,0">
                      <w:txbxContent>
                        <w:p w14:paraId="7F983485" w14:textId="257861F6" w:rsidR="00A469E3" w:rsidRPr="001F7EFB" w:rsidRDefault="00A469E3" w:rsidP="001F7EFB">
                          <w:pPr>
                            <w:jc w:val="center"/>
                            <w:rPr>
                              <w:rFonts w:ascii="Calibri" w:hAnsi="Calibri" w:cs="Calibri"/>
                              <w:color w:val="000000"/>
                              <w:sz w:val="24"/>
                            </w:rPr>
                          </w:pPr>
                          <w:r w:rsidRPr="001F7EFB">
                            <w:rPr>
                              <w:rFonts w:ascii="Calibri" w:hAnsi="Calibri" w:cs="Calibri"/>
                              <w:color w:val="000000"/>
                              <w:sz w:val="24"/>
                            </w:rPr>
                            <w:t>OFFICIAL</w:t>
                          </w:r>
                        </w:p>
                      </w:txbxContent>
                    </v:textbox>
                    <w10:wrap anchorx="page" anchory="page"/>
                  </v:shape>
                </w:pict>
              </mc:Fallback>
            </mc:AlternateContent>
          </w:r>
          <w:r>
            <w:rPr>
              <w:rStyle w:val="Bold"/>
            </w:rPr>
            <w:fldChar w:fldCharType="begin"/>
          </w:r>
          <w:r>
            <w:rPr>
              <w:rStyle w:val="Bold"/>
            </w:rPr>
            <w:instrText xml:space="preserve"> DOCPROPERTY  xFooterTitle  \* MERGEFORMAT </w:instrText>
          </w:r>
          <w:r>
            <w:rPr>
              <w:rStyle w:val="Bold"/>
            </w:rPr>
            <w:fldChar w:fldCharType="separate"/>
          </w:r>
          <w:r>
            <w:rPr>
              <w:rStyle w:val="Bold"/>
            </w:rPr>
            <w:t xml:space="preserve">State Emergency Management Plan </w:t>
          </w:r>
          <w:r>
            <w:rPr>
              <w:rStyle w:val="Bold"/>
            </w:rPr>
            <w:fldChar w:fldCharType="end"/>
          </w:r>
        </w:p>
        <w:p w14:paraId="688A1C1B" w14:textId="367C4A28" w:rsidR="00A469E3" w:rsidRPr="00CB1FB7" w:rsidRDefault="00B21C7F" w:rsidP="00810C40">
          <w:pPr>
            <w:pStyle w:val="FooterOdd"/>
            <w:rPr>
              <w:b/>
            </w:rPr>
          </w:pPr>
          <w:r>
            <w:fldChar w:fldCharType="begin"/>
          </w:r>
          <w:r>
            <w:instrText>DOCPROPERTY  xFooterSubtitle  \* MERGEFORMAT</w:instrText>
          </w:r>
          <w:r>
            <w:fldChar w:fldCharType="separate"/>
          </w:r>
          <w:r w:rsidR="00A469E3">
            <w:t>Energy Sub-Plan (2022)</w:t>
          </w:r>
          <w:r>
            <w:fldChar w:fldCharType="end"/>
          </w:r>
        </w:p>
      </w:tc>
      <w:tc>
        <w:tcPr>
          <w:tcW w:w="340" w:type="dxa"/>
        </w:tcPr>
        <w:p w14:paraId="156517B8" w14:textId="77777777" w:rsidR="00A469E3" w:rsidRPr="00D55628" w:rsidRDefault="00A469E3" w:rsidP="00D5562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D58775B" w14:textId="622BF5F6" w:rsidR="00A469E3" w:rsidRDefault="00A469E3">
    <w:pPr>
      <w:pStyle w:val="Footer"/>
    </w:pPr>
  </w:p>
  <w:p w14:paraId="15E7A445" w14:textId="77777777" w:rsidR="00A469E3" w:rsidRDefault="00A46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BFE" w14:textId="4688C807" w:rsidR="00A469E3" w:rsidRDefault="00B32ABE" w:rsidP="00DD2A1D">
    <w:pPr>
      <w:pStyle w:val="Footer"/>
      <w:jc w:val="center"/>
    </w:pPr>
    <w:r>
      <w:rPr>
        <w:noProof/>
      </w:rPr>
      <mc:AlternateContent>
        <mc:Choice Requires="wps">
          <w:drawing>
            <wp:anchor distT="0" distB="0" distL="114300" distR="114300" simplePos="0" relativeHeight="251661312" behindDoc="0" locked="0" layoutInCell="0" allowOverlap="1" wp14:anchorId="086E7E5A" wp14:editId="53CC3F3E">
              <wp:simplePos x="0" y="0"/>
              <wp:positionH relativeFrom="page">
                <wp:align>center</wp:align>
              </wp:positionH>
              <wp:positionV relativeFrom="page">
                <wp:align>bottom</wp:align>
              </wp:positionV>
              <wp:extent cx="7772400" cy="463550"/>
              <wp:effectExtent l="0" t="0" r="0" b="12700"/>
              <wp:wrapNone/>
              <wp:docPr id="8" name="MSIPCM30a94bdc8745580cd116d8f7" descr="{&quot;HashCode&quot;:-1264680268,&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D8820" w14:textId="07F909D1"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6E7E5A" id="_x0000_t202" coordsize="21600,21600" o:spt="202" path="m,l,21600r21600,l21600,xe">
              <v:stroke joinstyle="miter"/>
              <v:path gradientshapeok="t" o:connecttype="rect"/>
            </v:shapetype>
            <v:shape id="MSIPCM30a94bdc8745580cd116d8f7" o:spid="_x0000_s1028" type="#_x0000_t202" alt="{&quot;HashCode&quot;:-1264680268,&quot;Height&quot;:9999999.0,&quot;Width&quot;:9999999.0,&quot;Placement&quot;:&quot;Footer&quot;,&quot;Index&quot;:&quot;OddAndEven&quot;,&quot;Section&quot;:2,&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LmaQNsAIAAFsFAAAOAAAAAAAA&#10;AAAAAAAAAC4CAABkcnMvZTJvRG9jLnhtbFBLAQItABQABgAIAAAAIQC+Hwq32gAAAAUBAAAPAAAA&#10;AAAAAAAAAAAAAAoFAABkcnMvZG93bnJldi54bWxQSwUGAAAAAAQABADzAAAAEQYAAAAA&#10;" o:allowincell="f" filled="f" stroked="f" strokeweight=".5pt">
              <v:textbox inset=",0,,0">
                <w:txbxContent>
                  <w:p w14:paraId="108D8820" w14:textId="07F909D1"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v:textbox>
              <w10:wrap anchorx="page" anchory="page"/>
            </v:shape>
          </w:pict>
        </mc:Fallback>
      </mc:AlternateContent>
    </w:r>
    <w:r w:rsidR="00A469E3">
      <w:rPr>
        <w:noProof/>
      </w:rPr>
      <mc:AlternateContent>
        <mc:Choice Requires="wps">
          <w:drawing>
            <wp:anchor distT="0" distB="0" distL="114300" distR="114300" simplePos="0" relativeHeight="251653120" behindDoc="0" locked="0" layoutInCell="0" allowOverlap="1" wp14:anchorId="5D153C26" wp14:editId="5DA3088F">
              <wp:simplePos x="0" y="0"/>
              <wp:positionH relativeFrom="page">
                <wp:align>center</wp:align>
              </wp:positionH>
              <wp:positionV relativeFrom="page">
                <wp:align>bottom</wp:align>
              </wp:positionV>
              <wp:extent cx="7772400" cy="463550"/>
              <wp:effectExtent l="0" t="0" r="0" b="12700"/>
              <wp:wrapNone/>
              <wp:docPr id="114" name="MSIPCM0898440ea15df159a22641ab" descr="{&quot;HashCode&quot;:-1264680268,&quot;Height&quot;:842.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F7748" w14:textId="10BE8471"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D153C26" id="MSIPCM0898440ea15df159a22641ab" o:spid="_x0000_s1029" type="#_x0000_t202" alt="{&quot;HashCode&quot;:-1264680268,&quot;Height&quot;:842.0,&quot;Width&quot;:9999999.0,&quot;Placement&quot;:&quot;Footer&quot;,&quot;Index&quot;:&quot;OddAndEven&quot;,&quot;Section&quot;:4,&quot;Top&quot;:0.0,&quot;Left&quot;:0.0}" style="position:absolute;left:0;text-align:left;margin-left:0;margin-top:0;width:612pt;height:36.5pt;z-index:2516531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VNZLQCAABZBQAADgAA&#10;AAAAAAAAAAAAAAAuAgAAZHJzL2Uyb0RvYy54bWxQSwECLQAUAAYACAAAACEAvh8Kt9oAAAAFAQAA&#10;DwAAAAAAAAAAAAAAAAAOBQAAZHJzL2Rvd25yZXYueG1sUEsFBgAAAAAEAAQA8wAAABUGAAAAAA==&#10;" o:allowincell="f" filled="f" stroked="f" strokeweight=".5pt">
              <v:textbox inset=",0,,0">
                <w:txbxContent>
                  <w:p w14:paraId="7E1F7748" w14:textId="10BE8471"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v:textbox>
              <w10:wrap anchorx="page" anchory="page"/>
            </v:shape>
          </w:pict>
        </mc:Fallback>
      </mc:AlternateContent>
    </w:r>
    <w:r w:rsidR="00A469E3">
      <w:rPr>
        <w:rStyle w:val="PageNumber"/>
      </w:rPr>
      <w:fldChar w:fldCharType="begin"/>
    </w:r>
    <w:r w:rsidR="00A469E3">
      <w:rPr>
        <w:rStyle w:val="PageNumber"/>
      </w:rPr>
      <w:instrText xml:space="preserve"> PAGE </w:instrText>
    </w:r>
    <w:r w:rsidR="00A469E3">
      <w:rPr>
        <w:rStyle w:val="PageNumber"/>
      </w:rPr>
      <w:fldChar w:fldCharType="separate"/>
    </w:r>
    <w:r w:rsidR="00A469E3">
      <w:rPr>
        <w:rStyle w:val="PageNumber"/>
        <w:noProof/>
      </w:rPr>
      <w:t>38</w:t>
    </w:r>
    <w:r w:rsidR="00A469E3">
      <w:rPr>
        <w:rStyle w:val="PageNumber"/>
      </w:rPr>
      <w:fldChar w:fldCharType="end"/>
    </w:r>
    <w:r w:rsidR="00A469E3">
      <w:rPr>
        <w:rStyle w:val="PageNumber"/>
      </w:rPr>
      <w:tab/>
      <w:t>STATE EMERGENCY MANAGEMENT PLAN ENERGY SUB-PLAN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8DFC" w14:textId="462D04C1" w:rsidR="00A469E3" w:rsidRDefault="00B32ABE" w:rsidP="00DD2A1D">
    <w:pPr>
      <w:pStyle w:val="Footer"/>
      <w:rPr>
        <w:rStyle w:val="PageNumber"/>
      </w:rPr>
    </w:pPr>
    <w:r>
      <w:rPr>
        <w:rFonts w:ascii="Arial" w:hAnsi="Arial"/>
        <w:b/>
        <w:noProof/>
        <w:color w:val="auto"/>
      </w:rPr>
      <mc:AlternateContent>
        <mc:Choice Requires="wps">
          <w:drawing>
            <wp:anchor distT="0" distB="0" distL="114300" distR="114300" simplePos="0" relativeHeight="251658240" behindDoc="0" locked="0" layoutInCell="0" allowOverlap="1" wp14:anchorId="481C456B" wp14:editId="528C4A63">
              <wp:simplePos x="0" y="0"/>
              <wp:positionH relativeFrom="page">
                <wp:align>center</wp:align>
              </wp:positionH>
              <wp:positionV relativeFrom="page">
                <wp:align>bottom</wp:align>
              </wp:positionV>
              <wp:extent cx="7772400" cy="463550"/>
              <wp:effectExtent l="0" t="0" r="0" b="12700"/>
              <wp:wrapNone/>
              <wp:docPr id="3" name="MSIPCM378f4e4089a79ddc94302c73"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8EC89" w14:textId="73E0B15B"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1C456B" id="_x0000_t202" coordsize="21600,21600" o:spt="202" path="m,l,21600r21600,l21600,xe">
              <v:stroke joinstyle="miter"/>
              <v:path gradientshapeok="t" o:connecttype="rect"/>
            </v:shapetype>
            <v:shape id="MSIPCM378f4e4089a79ddc94302c73" o:spid="_x0000_s1030" type="#_x0000_t202" alt="{&quot;HashCode&quot;:-1264680268,&quot;Height&quot;:9999999.0,&quot;Width&quot;:9999999.0,&quot;Placement&quot;:&quot;Footer&quot;,&quot;Index&quot;:&quot;Primary&quot;,&quot;Section&quot;:2,&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vVymrQIAAFgFAAAOAAAAAAAAAAAA&#10;AAAAAC4CAABkcnMvZTJvRG9jLnhtbFBLAQItABQABgAIAAAAIQC+Hwq32gAAAAUBAAAPAAAAAAAA&#10;AAAAAAAAAAcFAABkcnMvZG93bnJldi54bWxQSwUGAAAAAAQABADzAAAADgYAAAAA&#10;" o:allowincell="f" filled="f" stroked="f" strokeweight=".5pt">
              <v:textbox inset=",0,,0">
                <w:txbxContent>
                  <w:p w14:paraId="78B8EC89" w14:textId="73E0B15B"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v:textbox>
              <w10:wrap anchorx="page" anchory="page"/>
            </v:shape>
          </w:pict>
        </mc:Fallback>
      </mc:AlternateContent>
    </w:r>
    <w:r w:rsidR="00A469E3">
      <w:rPr>
        <w:rFonts w:ascii="Arial" w:hAnsi="Arial"/>
        <w:b/>
        <w:noProof/>
        <w:color w:val="auto"/>
      </w:rPr>
      <mc:AlternateContent>
        <mc:Choice Requires="wps">
          <w:drawing>
            <wp:anchor distT="0" distB="0" distL="114300" distR="114300" simplePos="0" relativeHeight="251654144" behindDoc="0" locked="0" layoutInCell="0" allowOverlap="1" wp14:anchorId="3EB81ABF" wp14:editId="6B0E9C24">
              <wp:simplePos x="0" y="0"/>
              <wp:positionH relativeFrom="page">
                <wp:align>center</wp:align>
              </wp:positionH>
              <wp:positionV relativeFrom="page">
                <wp:align>bottom</wp:align>
              </wp:positionV>
              <wp:extent cx="7772400" cy="463550"/>
              <wp:effectExtent l="0" t="0" r="0" b="12700"/>
              <wp:wrapNone/>
              <wp:docPr id="7521" name="MSIPCM99ee4dc399f608fd4ae51e63" descr="{&quot;HashCode&quot;:-1264680268,&quot;Height&quot;:842.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A147F" w14:textId="6073EA2E"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EB81ABF" id="MSIPCM99ee4dc399f608fd4ae51e63" o:spid="_x0000_s1031" type="#_x0000_t202" alt="{&quot;HashCode&quot;:-1264680268,&quot;Height&quot;:842.0,&quot;Width&quot;:9999999.0,&quot;Placement&quot;:&quot;Footer&quot;,&quot;Index&quot;:&quot;Primary&quot;,&quot;Section&quot;:4,&quot;Top&quot;:0.0,&quot;Left&quot;:0.0}" style="position:absolute;margin-left:0;margin-top:0;width:612pt;height:36.5pt;z-index:2516541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5tfriLQCAABXBQAADgAA&#10;AAAAAAAAAAAAAAAuAgAAZHJzL2Uyb0RvYy54bWxQSwECLQAUAAYACAAAACEAvh8Kt9oAAAAFAQAA&#10;DwAAAAAAAAAAAAAAAAAOBQAAZHJzL2Rvd25yZXYueG1sUEsFBgAAAAAEAAQA8wAAABUGAAAAAA==&#10;" o:allowincell="f" filled="f" stroked="f" strokeweight=".5pt">
              <v:textbox inset=",0,,0">
                <w:txbxContent>
                  <w:p w14:paraId="2F3A147F" w14:textId="6073EA2E"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v:textbox>
              <w10:wrap anchorx="page" anchory="page"/>
            </v:shape>
          </w:pict>
        </mc:Fallback>
      </mc:AlternateContent>
    </w:r>
  </w:p>
  <w:p w14:paraId="4CCAEBAA" w14:textId="77777777" w:rsidR="00A469E3" w:rsidRDefault="00A469E3" w:rsidP="00DD2A1D">
    <w:pPr>
      <w:pStyle w:val="Footer"/>
      <w:rPr>
        <w:rStyle w:val="PageNumber"/>
      </w:rPr>
    </w:pPr>
  </w:p>
  <w:p w14:paraId="1FBFC0FC" w14:textId="77777777" w:rsidR="00A469E3" w:rsidRDefault="00A469E3" w:rsidP="00DD2A1D">
    <w:pPr>
      <w:pStyle w:val="Footer"/>
    </w:pPr>
    <w:r>
      <w:rPr>
        <w:rStyle w:val="PageNumber"/>
      </w:rPr>
      <w:t xml:space="preserve">STATE EMERGENCY MANAGEMENT PLAN ENERGY SUB-PLAN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3375" w14:textId="0EFD0B0E" w:rsidR="00A469E3" w:rsidRDefault="00B32ABE" w:rsidP="00DD2A1D">
    <w:pPr>
      <w:pStyle w:val="Footer"/>
      <w:jc w:val="center"/>
    </w:pPr>
    <w:r>
      <w:rPr>
        <w:rFonts w:ascii="Arial" w:hAnsi="Arial"/>
        <w:b/>
        <w:noProof/>
        <w:color w:val="auto"/>
      </w:rPr>
      <mc:AlternateContent>
        <mc:Choice Requires="wps">
          <w:drawing>
            <wp:anchor distT="0" distB="0" distL="114300" distR="114300" simplePos="0" relativeHeight="251659264" behindDoc="0" locked="0" layoutInCell="0" allowOverlap="1" wp14:anchorId="1C9DCB90" wp14:editId="2A890BAA">
              <wp:simplePos x="0" y="0"/>
              <wp:positionH relativeFrom="page">
                <wp:align>center</wp:align>
              </wp:positionH>
              <wp:positionV relativeFrom="page">
                <wp:align>bottom</wp:align>
              </wp:positionV>
              <wp:extent cx="7772400" cy="463550"/>
              <wp:effectExtent l="0" t="0" r="0" b="12700"/>
              <wp:wrapNone/>
              <wp:docPr id="4" name="MSIPCM2498443c8023b9243d873dec"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AB57D" w14:textId="047B0469"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9DCB90" id="_x0000_t202" coordsize="21600,21600" o:spt="202" path="m,l,21600r21600,l21600,xe">
              <v:stroke joinstyle="miter"/>
              <v:path gradientshapeok="t" o:connecttype="rect"/>
            </v:shapetype>
            <v:shape id="MSIPCM2498443c8023b9243d873dec" o:spid="_x0000_s1032" type="#_x0000_t202" alt="{&quot;HashCode&quot;:-1264680268,&quot;Height&quot;:9999999.0,&quot;Width&quot;:9999999.0,&quot;Placement&quot;:&quot;Footer&quot;,&quot;Index&quot;:&quot;FirstPage&quot;,&quot;Section&quot;:2,&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F5NVeWsAgAAWgUAAA4AAAAAAAAAAAAA&#10;AAAALgIAAGRycy9lMm9Eb2MueG1sUEsBAi0AFAAGAAgAAAAhAL4fCrfaAAAABQEAAA8AAAAAAAAA&#10;AAAAAAAABgUAAGRycy9kb3ducmV2LnhtbFBLBQYAAAAABAAEAPMAAAANBgAAAAA=&#10;" o:allowincell="f" filled="f" stroked="f" strokeweight=".5pt">
              <v:textbox inset=",0,,0">
                <w:txbxContent>
                  <w:p w14:paraId="33FAB57D" w14:textId="047B0469" w:rsidR="00B32ABE" w:rsidRPr="00B32ABE" w:rsidRDefault="00B32ABE" w:rsidP="00B32ABE">
                    <w:pPr>
                      <w:jc w:val="center"/>
                      <w:rPr>
                        <w:rFonts w:ascii="Calibri" w:hAnsi="Calibri" w:cs="Calibri"/>
                        <w:color w:val="000000"/>
                        <w:sz w:val="24"/>
                      </w:rPr>
                    </w:pPr>
                    <w:r w:rsidRPr="00B32ABE">
                      <w:rPr>
                        <w:rFonts w:ascii="Calibri" w:hAnsi="Calibri" w:cs="Calibri"/>
                        <w:color w:val="000000"/>
                        <w:sz w:val="24"/>
                      </w:rPr>
                      <w:t>OFFICIAL</w:t>
                    </w:r>
                  </w:p>
                </w:txbxContent>
              </v:textbox>
              <w10:wrap anchorx="page" anchory="page"/>
            </v:shape>
          </w:pict>
        </mc:Fallback>
      </mc:AlternateContent>
    </w:r>
    <w:r w:rsidR="00A469E3">
      <w:rPr>
        <w:rFonts w:ascii="Arial" w:hAnsi="Arial"/>
        <w:b/>
        <w:noProof/>
        <w:color w:val="auto"/>
      </w:rPr>
      <mc:AlternateContent>
        <mc:Choice Requires="wps">
          <w:drawing>
            <wp:anchor distT="0" distB="0" distL="114300" distR="114300" simplePos="0" relativeHeight="251656192" behindDoc="0" locked="0" layoutInCell="0" allowOverlap="1" wp14:anchorId="3138E294" wp14:editId="5192F643">
              <wp:simplePos x="0" y="0"/>
              <wp:positionH relativeFrom="page">
                <wp:align>center</wp:align>
              </wp:positionH>
              <wp:positionV relativeFrom="page">
                <wp:align>bottom</wp:align>
              </wp:positionV>
              <wp:extent cx="7772400" cy="463550"/>
              <wp:effectExtent l="0" t="0" r="0" b="12700"/>
              <wp:wrapNone/>
              <wp:docPr id="7522" name="MSIPCM9b3349599227bb784f9b368d" descr="{&quot;HashCode&quot;:-1264680268,&quot;Height&quot;:842.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B95E9" w14:textId="410A96D2"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138E294" id="MSIPCM9b3349599227bb784f9b368d" o:spid="_x0000_s1033" type="#_x0000_t202" alt="{&quot;HashCode&quot;:-1264680268,&quot;Height&quot;:842.0,&quot;Width&quot;:9999999.0,&quot;Placement&quot;:&quot;Footer&quot;,&quot;Index&quot;:&quot;FirstPage&quot;,&quot;Section&quot;:4,&quot;Top&quot;:0.0,&quot;Left&quot;:0.0}" style="position:absolute;left:0;text-align:left;margin-left:0;margin-top:0;width:612pt;height:36.5pt;z-index:2516561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" o:allowincell="f" filled="f" stroked="f" strokeweight=".5pt">
              <v:textbox inset=",0,,0">
                <w:txbxContent>
                  <w:p w14:paraId="6B4B95E9" w14:textId="410A96D2" w:rsidR="00A469E3" w:rsidRPr="00DD2BEA" w:rsidRDefault="00A469E3" w:rsidP="00DD2BEA">
                    <w:pPr>
                      <w:jc w:val="center"/>
                      <w:rPr>
                        <w:rFonts w:ascii="Calibri" w:hAnsi="Calibri" w:cs="Calibri"/>
                        <w:color w:val="000000"/>
                        <w:sz w:val="24"/>
                      </w:rPr>
                    </w:pPr>
                    <w:r w:rsidRPr="00DD2BEA">
                      <w:rPr>
                        <w:rFonts w:ascii="Calibri" w:hAnsi="Calibri" w:cs="Calibri"/>
                        <w:color w:val="000000"/>
                        <w:sz w:val="24"/>
                      </w:rPr>
                      <w:t>OFFICIAL</w:t>
                    </w:r>
                  </w:p>
                </w:txbxContent>
              </v:textbox>
              <w10:wrap anchorx="page" anchory="page"/>
            </v:shape>
          </w:pict>
        </mc:Fallback>
      </mc:AlternateContent>
    </w:r>
    <w:r w:rsidR="00A469E3">
      <w:rPr>
        <w:rStyle w:val="PageNumber"/>
      </w:rPr>
      <w:t xml:space="preserve">STATE EMERGENCY MANAGEMENT PLAN ENERGY SUB-PLAN </w:t>
    </w:r>
    <w:r w:rsidR="00A469E3">
      <w:tab/>
    </w:r>
    <w:r w:rsidR="00A469E3">
      <w:rPr>
        <w:rStyle w:val="PageNumber"/>
      </w:rPr>
      <w:fldChar w:fldCharType="begin"/>
    </w:r>
    <w:r w:rsidR="00A469E3">
      <w:rPr>
        <w:rStyle w:val="PageNumber"/>
      </w:rPr>
      <w:instrText xml:space="preserve"> PAGE </w:instrText>
    </w:r>
    <w:r w:rsidR="00A469E3">
      <w:rPr>
        <w:rStyle w:val="PageNumber"/>
      </w:rPr>
      <w:fldChar w:fldCharType="separate"/>
    </w:r>
    <w:r w:rsidR="00A469E3">
      <w:rPr>
        <w:rStyle w:val="PageNumber"/>
        <w:noProof/>
      </w:rPr>
      <w:t>1</w:t>
    </w:r>
    <w:r w:rsidR="00A469E3">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D372" w14:textId="77777777" w:rsidR="00A469E3" w:rsidRDefault="00A469E3">
    <w:pPr>
      <w:pStyle w:val="Footer"/>
    </w:pPr>
    <w:r>
      <w:rPr>
        <w:noProof/>
      </w:rPr>
      <mc:AlternateContent>
        <mc:Choice Requires="wps">
          <w:drawing>
            <wp:anchor distT="0" distB="0" distL="114300" distR="114300" simplePos="0" relativeHeight="251657216" behindDoc="0" locked="0" layoutInCell="0" allowOverlap="1" wp14:anchorId="7B61326A" wp14:editId="4FB362C6">
              <wp:simplePos x="0" y="0"/>
              <wp:positionH relativeFrom="page">
                <wp:align>center</wp:align>
              </wp:positionH>
              <wp:positionV relativeFrom="page">
                <wp:align>bottom</wp:align>
              </wp:positionV>
              <wp:extent cx="7772400" cy="463550"/>
              <wp:effectExtent l="0" t="0" r="0" b="12700"/>
              <wp:wrapNone/>
              <wp:docPr id="7532" name="MSIPCMc26742f4a688c8d045513a4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627B2" w14:textId="509197D4" w:rsidR="00A469E3" w:rsidRPr="00D17372" w:rsidRDefault="00D17372" w:rsidP="00D17372">
                          <w:pPr>
                            <w:jc w:val="center"/>
                            <w:rPr>
                              <w:rFonts w:ascii="Calibri" w:hAnsi="Calibri" w:cs="Calibri"/>
                              <w:color w:val="000000"/>
                              <w:sz w:val="24"/>
                            </w:rPr>
                          </w:pPr>
                          <w:r w:rsidRPr="00D1737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61326A" id="_x0000_t202" coordsize="21600,21600" o:spt="202" path="m,l,21600r21600,l21600,xe">
              <v:stroke joinstyle="miter"/>
              <v:path gradientshapeok="t" o:connecttype="rect"/>
            </v:shapetype>
            <v:shape id="MSIPCMc26742f4a688c8d045513a46" o:spid="_x0000_s1034" type="#_x0000_t202" alt="{&quot;HashCode&quot;:-1264680268,&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qsGKesAIAAFsFAAAOAAAAAAAA&#10;AAAAAAAAAC4CAABkcnMvZTJvRG9jLnhtbFBLAQItABQABgAIAAAAIQC+Hwq32gAAAAUBAAAPAAAA&#10;AAAAAAAAAAAAAAoFAABkcnMvZG93bnJldi54bWxQSwUGAAAAAAQABADzAAAAEQYAAAAA&#10;" o:allowincell="f" filled="f" stroked="f" strokeweight=".5pt">
              <v:textbox inset=",0,,0">
                <w:txbxContent>
                  <w:p w14:paraId="010627B2" w14:textId="509197D4" w:rsidR="00A469E3" w:rsidRPr="00D17372" w:rsidRDefault="00D17372" w:rsidP="00D17372">
                    <w:pPr>
                      <w:jc w:val="center"/>
                      <w:rPr>
                        <w:rFonts w:ascii="Calibri" w:hAnsi="Calibri" w:cs="Calibri"/>
                        <w:color w:val="000000"/>
                        <w:sz w:val="24"/>
                      </w:rPr>
                    </w:pPr>
                    <w:r w:rsidRPr="00D17372">
                      <w:rPr>
                        <w:rFonts w:ascii="Calibri" w:hAnsi="Calibri" w:cs="Calibri"/>
                        <w:color w:val="000000"/>
                        <w:sz w:val="24"/>
                      </w:rPr>
                      <w:t>OFFICIAL</w:t>
                    </w:r>
                  </w:p>
                </w:txbxContent>
              </v:textbox>
              <w10:wrap anchorx="page" anchory="page"/>
            </v:shape>
          </w:pict>
        </mc:Fallback>
      </mc:AlternateContent>
    </w:r>
    <w:sdt>
      <w:sdtPr>
        <w:id w:val="-32882536"/>
        <w:docPartObj>
          <w:docPartGallery w:val="Page Numbers (Bottom of Page)"/>
          <w:docPartUnique/>
        </w:docPartObj>
      </w:sdtPr>
      <w:sdtEndPr/>
      <w:sdtContent>
        <w:sdt>
          <w:sdtPr>
            <w:id w:val="14696980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391" w14:textId="26E86E9E" w:rsidR="00A469E3" w:rsidRPr="00BA6C2B" w:rsidRDefault="00A469E3" w:rsidP="00BA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F2DC" w14:textId="77777777" w:rsidR="003D03E4" w:rsidRPr="008F5280" w:rsidRDefault="003D03E4" w:rsidP="008F5280">
      <w:pPr>
        <w:pStyle w:val="FootnoteSeparator"/>
      </w:pPr>
    </w:p>
  </w:footnote>
  <w:footnote w:type="continuationSeparator" w:id="0">
    <w:p w14:paraId="6B1BF063" w14:textId="77777777" w:rsidR="003D03E4" w:rsidRDefault="003D03E4" w:rsidP="008F5280">
      <w:pPr>
        <w:pStyle w:val="FootnoteSeparator"/>
      </w:pPr>
    </w:p>
    <w:p w14:paraId="29E1EDF8" w14:textId="77777777" w:rsidR="003D03E4" w:rsidRDefault="003D03E4"/>
  </w:footnote>
  <w:footnote w:type="continuationNotice" w:id="1">
    <w:p w14:paraId="651688F3" w14:textId="77777777" w:rsidR="003D03E4" w:rsidRDefault="003D03E4" w:rsidP="00D55628"/>
    <w:p w14:paraId="2C90C0F3" w14:textId="77777777" w:rsidR="003D03E4" w:rsidRDefault="003D03E4"/>
  </w:footnote>
  <w:footnote w:id="2">
    <w:p w14:paraId="307A48C0" w14:textId="77777777" w:rsidR="00A469E3" w:rsidRPr="00594770" w:rsidRDefault="00A469E3" w:rsidP="00DD2A1D">
      <w:pPr>
        <w:pStyle w:val="FootnoteText"/>
        <w:spacing w:after="0"/>
        <w:rPr>
          <w:sz w:val="16"/>
          <w:szCs w:val="16"/>
        </w:rPr>
      </w:pPr>
      <w:r w:rsidRPr="00594770">
        <w:rPr>
          <w:rStyle w:val="FootnoteReference"/>
          <w:sz w:val="16"/>
          <w:szCs w:val="16"/>
        </w:rPr>
        <w:footnoteRef/>
      </w:r>
      <w:r w:rsidRPr="00594770">
        <w:rPr>
          <w:sz w:val="16"/>
          <w:szCs w:val="16"/>
        </w:rPr>
        <w:t xml:space="preserve"> Risks as identified in the state-level Emergency Risk Assessment (ERA) May 2021 based on:</w:t>
      </w:r>
    </w:p>
    <w:p w14:paraId="5E45B4DB" w14:textId="77777777" w:rsidR="00A469E3" w:rsidRPr="00594770" w:rsidRDefault="00A469E3" w:rsidP="00DD2BEA">
      <w:pPr>
        <w:pStyle w:val="FootnoteText"/>
        <w:numPr>
          <w:ilvl w:val="0"/>
          <w:numId w:val="31"/>
        </w:numPr>
        <w:tabs>
          <w:tab w:val="clear" w:pos="284"/>
        </w:tabs>
        <w:spacing w:after="0" w:line="240" w:lineRule="auto"/>
        <w:rPr>
          <w:sz w:val="16"/>
          <w:szCs w:val="16"/>
        </w:rPr>
      </w:pPr>
      <w:r w:rsidRPr="00594770">
        <w:rPr>
          <w:sz w:val="16"/>
          <w:szCs w:val="16"/>
        </w:rPr>
        <w:t>consultation with the Energy Sector Resilience Network convened by DELWP, and Energy Sector Group Trusted Information Sharing Network (TISN) convened by the Commonwealth Government’s Department of Home Affairs</w:t>
      </w:r>
    </w:p>
    <w:p w14:paraId="33381DDC" w14:textId="77777777" w:rsidR="00A469E3" w:rsidRPr="00594770" w:rsidRDefault="00A469E3" w:rsidP="00DD2BEA">
      <w:pPr>
        <w:pStyle w:val="FootnoteText"/>
        <w:numPr>
          <w:ilvl w:val="0"/>
          <w:numId w:val="31"/>
        </w:numPr>
        <w:tabs>
          <w:tab w:val="clear" w:pos="284"/>
        </w:tabs>
        <w:spacing w:after="0" w:line="240" w:lineRule="auto"/>
        <w:rPr>
          <w:sz w:val="16"/>
          <w:szCs w:val="16"/>
        </w:rPr>
      </w:pPr>
      <w:r w:rsidRPr="00594770">
        <w:rPr>
          <w:sz w:val="16"/>
          <w:szCs w:val="16"/>
        </w:rPr>
        <w:t>information included in ‘vital’ energy critical infrastructure businesses’ Statements of Assurance</w:t>
      </w:r>
    </w:p>
    <w:p w14:paraId="0ADE54C5" w14:textId="77777777" w:rsidR="00A469E3" w:rsidRPr="00594770" w:rsidRDefault="00A469E3" w:rsidP="00DD2BEA">
      <w:pPr>
        <w:pStyle w:val="FootnoteText"/>
        <w:numPr>
          <w:ilvl w:val="0"/>
          <w:numId w:val="31"/>
        </w:numPr>
        <w:tabs>
          <w:tab w:val="clear" w:pos="284"/>
        </w:tabs>
        <w:spacing w:after="0" w:line="240" w:lineRule="auto"/>
        <w:rPr>
          <w:sz w:val="16"/>
          <w:szCs w:val="16"/>
        </w:rPr>
      </w:pPr>
      <w:r w:rsidRPr="00594770">
        <w:rPr>
          <w:sz w:val="16"/>
          <w:szCs w:val="16"/>
        </w:rPr>
        <w:t>Victorian Government state level risk management priorities and risk assessments.</w:t>
      </w:r>
    </w:p>
  </w:footnote>
  <w:footnote w:id="3">
    <w:p w14:paraId="0E66C6DC" w14:textId="77777777" w:rsidR="00A469E3" w:rsidRPr="00D942AC" w:rsidRDefault="00A469E3" w:rsidP="00DD2A1D">
      <w:pPr>
        <w:pStyle w:val="FootnoteText"/>
        <w:rPr>
          <w:sz w:val="16"/>
          <w:szCs w:val="16"/>
        </w:rPr>
      </w:pPr>
      <w:r w:rsidRPr="00D942AC">
        <w:rPr>
          <w:rStyle w:val="FootnoteReference"/>
          <w:sz w:val="16"/>
          <w:szCs w:val="16"/>
        </w:rPr>
        <w:footnoteRef/>
      </w:r>
      <w:r w:rsidRPr="00D942AC">
        <w:rPr>
          <w:sz w:val="16"/>
          <w:szCs w:val="16"/>
        </w:rPr>
        <w:t xml:space="preserve"> Load shedding is where network businesses remove electricity demand by switching off areas of demand.</w:t>
      </w:r>
    </w:p>
  </w:footnote>
  <w:footnote w:id="4">
    <w:p w14:paraId="17E7AFBB" w14:textId="77777777" w:rsidR="00A469E3" w:rsidRPr="00D942AC" w:rsidRDefault="00A469E3" w:rsidP="00DD2A1D">
      <w:pPr>
        <w:pStyle w:val="FootnoteText"/>
        <w:rPr>
          <w:sz w:val="16"/>
          <w:szCs w:val="16"/>
        </w:rPr>
      </w:pPr>
      <w:r w:rsidRPr="00D942AC">
        <w:rPr>
          <w:rStyle w:val="FootnoteReference"/>
          <w:sz w:val="16"/>
          <w:szCs w:val="16"/>
        </w:rPr>
        <w:footnoteRef/>
      </w:r>
      <w:r w:rsidRPr="00D942AC">
        <w:rPr>
          <w:sz w:val="16"/>
          <w:szCs w:val="16"/>
        </w:rPr>
        <w:t xml:space="preserve"> Consumers are asked or directed to reduce their gas consumption or demand through voluntary or mandatory measures.</w:t>
      </w:r>
    </w:p>
  </w:footnote>
  <w:footnote w:id="5">
    <w:p w14:paraId="6AC38548" w14:textId="77777777" w:rsidR="00A469E3" w:rsidRPr="00D942AC" w:rsidRDefault="00A469E3" w:rsidP="00DD2BEA">
      <w:pPr>
        <w:rPr>
          <w:rFonts w:ascii="Segoe UI" w:eastAsia="Segoe UI" w:hAnsi="Segoe UI" w:cs="Segoe UI"/>
          <w:sz w:val="16"/>
          <w:szCs w:val="16"/>
          <w:highlight w:val="yellow"/>
        </w:rPr>
      </w:pPr>
      <w:r w:rsidRPr="00D942AC">
        <w:rPr>
          <w:rStyle w:val="FootnoteReference"/>
          <w:sz w:val="16"/>
          <w:szCs w:val="16"/>
        </w:rPr>
        <w:footnoteRef/>
      </w:r>
      <w:r w:rsidRPr="00D942AC">
        <w:rPr>
          <w:sz w:val="16"/>
          <w:szCs w:val="16"/>
        </w:rPr>
        <w:t xml:space="preserve"> ‘E</w:t>
      </w:r>
      <w:r w:rsidRPr="00D942AC">
        <w:rPr>
          <w:rFonts w:ascii="Segoe UI" w:eastAsia="Segoe UI" w:hAnsi="Segoe UI" w:cs="Segoe UI"/>
          <w:sz w:val="16"/>
          <w:szCs w:val="16"/>
        </w:rPr>
        <w:t>ssential fuel users’ are defined in the Liquid Fuel Emergency (Activities—Essential Users) Determination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632E" w14:textId="77777777" w:rsidR="00D17372" w:rsidRDefault="00D17372" w:rsidP="009C64FA">
    <w:pPr>
      <w:pStyle w:val="Header"/>
    </w:pPr>
  </w:p>
  <w:p w14:paraId="07294692" w14:textId="77777777" w:rsidR="00A469E3" w:rsidRDefault="00A469E3" w:rsidP="009C64FA">
    <w:pPr>
      <w:pStyle w:val="Header"/>
    </w:pPr>
  </w:p>
  <w:p w14:paraId="5584F600" w14:textId="77777777" w:rsidR="00A469E3" w:rsidRPr="00393205" w:rsidRDefault="00A469E3"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FE74" w14:textId="77777777" w:rsidR="00A469E3" w:rsidRDefault="00A4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FD9" w14:textId="4B80D657" w:rsidR="00A469E3" w:rsidRDefault="00A469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703" w14:textId="41846F99" w:rsidR="00A469E3" w:rsidRDefault="00A469E3" w:rsidP="00DD2A1D">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5022" w14:textId="52E51E2C" w:rsidR="00A469E3" w:rsidRDefault="00A469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F628" w14:textId="77777777" w:rsidR="00A469E3" w:rsidRDefault="00A469E3" w:rsidP="004B1CAC">
    <w:pPr>
      <w:pStyle w:val="Header"/>
      <w:jc w:val="center"/>
    </w:pPr>
    <w:r>
      <w:rPr>
        <w:b/>
      </w:rPr>
      <w:t>Assurance Checklist – State Emergency Management Plan or Sub-Plan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0D81" w14:textId="77777777" w:rsidR="00A469E3" w:rsidRPr="00BA6C2B" w:rsidRDefault="00A469E3" w:rsidP="00BA6C2B">
    <w:pPr>
      <w:pStyle w:val="Header"/>
    </w:pPr>
  </w:p>
</w:hdr>
</file>

<file path=word/intelligence2.xml><?xml version="1.0" encoding="utf-8"?>
<int2:intelligence xmlns:int2="http://schemas.microsoft.com/office/intelligence/2020/intelligence" xmlns:oel="http://schemas.microsoft.com/office/2019/extlst">
  <int2:observations>
    <int2:textHash int2:hashCode="QGEVIEeCytjgLy" int2:id="42VyX3Al">
      <int2:state int2:value="Rejected" int2:type="LegacyProofing"/>
    </int2:textHash>
    <int2:textHash int2:hashCode="qlruSH2MkEZQ24" int2:id="GNuE3501">
      <int2:state int2:value="Rejected" int2:type="LegacyProofing"/>
    </int2:textHash>
    <int2:textHash int2:hashCode="g3v4Cxd7Xy44rr" int2:id="KEWyOirQ">
      <int2:state int2:value="Rejected" int2:type="LegacyProofing"/>
    </int2:textHash>
    <int2:textHash int2:hashCode="BC3EUS+j05HFFw" int2:id="LNV9ZUhg">
      <int2:state int2:value="Rejected" int2:type="LegacyProofing"/>
    </int2:textHash>
    <int2:textHash int2:hashCode="CnluJbJmTacjqm" int2:id="OFK2rCMV">
      <int2:state int2:value="Rejected" int2:type="LegacyProofing"/>
    </int2:textHash>
    <int2:textHash int2:hashCode="ZJBHRS0jzXZfFd" int2:id="kppDPtSY">
      <int2:state int2:value="Rejected" int2:type="LegacyProofing"/>
    </int2:textHash>
    <int2:textHash int2:hashCode="K5k3SIcfUZsfuT" int2:id="m1PhmIme">
      <int2:state int2:value="Rejected" int2:type="LegacyProofing"/>
    </int2:textHash>
    <int2:textHash int2:hashCode="6wWpc9U9eSM8tn" int2:id="yVuTI91Q">
      <int2:state int2:value="Rejected" int2:type="LegacyProofing"/>
    </int2:textHash>
    <int2:bookmark int2:bookmarkName="_Int_sWX0k2rI" int2:invalidationBookmarkName="" int2:hashCode="Ce/2XFz5x2lJ3s" int2:id="1nDhubEQ">
      <int2:state int2:value="Rejected" int2:type="LegacyProofing"/>
    </int2:bookmark>
    <int2:bookmark int2:bookmarkName="_Int_8knDBVkT" int2:invalidationBookmarkName="" int2:hashCode="vyXsRbOewyMezs" int2:id="5gA8lZDh">
      <int2:state int2:value="Rejected" int2:type="LegacyProofing"/>
    </int2:bookmark>
    <int2:bookmark int2:bookmarkName="_Int_NCxzTafv" int2:invalidationBookmarkName="" int2:hashCode="fgxPsdEK6G5Xd1" int2:id="7kbWkh8t">
      <int2:state int2:value="Rejected" int2:type="WordDesignerDefaultAnnotation"/>
    </int2:bookmark>
    <int2:bookmark int2:bookmarkName="_Int_gb2u8RYz" int2:invalidationBookmarkName="" int2:hashCode="gROaSiGF8hRbgA" int2:id="8yBhVODl">
      <int2:state int2:value="Rejected" int2:type="WordDesignerDefaultAnnotation"/>
    </int2:bookmark>
    <int2:bookmark int2:bookmarkName="_Int_5LtsQWsv" int2:invalidationBookmarkName="" int2:hashCode="6J5DhGVnujRvx6" int2:id="AtoYQCGp">
      <int2:state int2:value="Rejected" int2:type="LegacyProofing"/>
    </int2:bookmark>
    <int2:bookmark int2:bookmarkName="_Int_LvHiqHXs" int2:invalidationBookmarkName="" int2:hashCode="A+8KaC6jy03rNn" int2:id="Cmp3Ny4C">
      <int2:state int2:value="Rejected" int2:type="WordDesignerDefaultAnnotation"/>
    </int2:bookmark>
    <int2:bookmark int2:bookmarkName="_Int_3NaVwcpb" int2:invalidationBookmarkName="" int2:hashCode="dAvuFQCAd6sBXH" int2:id="DajW8g8G">
      <int2:state int2:value="Rejected" int2:type="WordDesignerDefaultAnnotation"/>
    </int2:bookmark>
    <int2:bookmark int2:bookmarkName="_Int_uxfz3SX4" int2:invalidationBookmarkName="" int2:hashCode="ADBWZ/xr8E7wI7" int2:id="EZ7hqaNE">
      <int2:state int2:value="Rejected" int2:type="LegacyProofing"/>
    </int2:bookmark>
    <int2:bookmark int2:bookmarkName="_Int_JMuxgMUY" int2:invalidationBookmarkName="" int2:hashCode="0+yw2JA2jXZZ7l" int2:id="IwYTwmqg">
      <int2:state int2:value="Rejected" int2:type="LegacyProofing"/>
    </int2:bookmark>
    <int2:bookmark int2:bookmarkName="_Int_7rMtcZ3Y" int2:invalidationBookmarkName="" int2:hashCode="iASwaVRKj7nqcd" int2:id="K76JjA3j">
      <int2:state int2:value="Rejected" int2:type="WordDesignerDefaultAnnotation"/>
    </int2:bookmark>
    <int2:bookmark int2:bookmarkName="_Int_btyomGcN" int2:invalidationBookmarkName="" int2:hashCode="GNPc5v4ETcDGmP" int2:id="LQ7Ck6EQ">
      <int2:state int2:value="Rejected" int2:type="WordDesignerDefaultAnnotation"/>
    </int2:bookmark>
    <int2:bookmark int2:bookmarkName="_Int_Yjd8EB9v" int2:invalidationBookmarkName="" int2:hashCode="z/pQoyyxOiQNcF" int2:id="QO2MV9ZR">
      <int2:state int2:value="Rejected" int2:type="LegacyProofing"/>
    </int2:bookmark>
    <int2:bookmark int2:bookmarkName="_Int_n4xxJKCw" int2:invalidationBookmarkName="" int2:hashCode="Ce/2XFz5x2lJ3s" int2:id="S55LjXNd">
      <int2:state int2:value="Rejected" int2:type="LegacyProofing"/>
    </int2:bookmark>
    <int2:bookmark int2:bookmarkName="_Int_hCYMwXsG" int2:invalidationBookmarkName="" int2:hashCode="bG4kUSDcwrK2N/" int2:id="S5cSQ4tv">
      <int2:state int2:value="Rejected" int2:type="WordDesignerDefaultAnnotation"/>
    </int2:bookmark>
    <int2:bookmark int2:bookmarkName="_Int_BdAYelJa" int2:invalidationBookmarkName="" int2:hashCode="fgxPsdEK6G5Xd1" int2:id="Tyq1Ay1Z">
      <int2:state int2:value="Rejected" int2:type="WordDesignerDefaultAnnotation"/>
    </int2:bookmark>
    <int2:bookmark int2:bookmarkName="_Int_Oj4dsfna" int2:invalidationBookmarkName="" int2:hashCode="ZXTOBqomvE/38h" int2:id="UCEg4UkT">
      <int2:state int2:value="Rejected" int2:type="LegacyProofing"/>
    </int2:bookmark>
    <int2:bookmark int2:bookmarkName="_Int_Owa1mNm2" int2:invalidationBookmarkName="" int2:hashCode="wonCeB0sE+Vljf" int2:id="UojQ67sO">
      <int2:state int2:value="Rejected" int2:type="WordDesignerDefaultAnnotation"/>
    </int2:bookmark>
    <int2:bookmark int2:bookmarkName="_Int_iPmVWnOX" int2:invalidationBookmarkName="" int2:hashCode="OVpB3cnhPIkW+L" int2:id="WzpCzfWg">
      <int2:state int2:value="Rejected" int2:type="LegacyProofing"/>
    </int2:bookmark>
    <int2:bookmark int2:bookmarkName="_Int_9KQXyHOY" int2:invalidationBookmarkName="" int2:hashCode="pcyRaq0eHEWn7W" int2:id="aZWhG4ny">
      <int2:state int2:value="Rejected" int2:type="WordDesignerDefaultAnnotation"/>
    </int2:bookmark>
    <int2:bookmark int2:bookmarkName="_Int_lpH9Dpat" int2:invalidationBookmarkName="" int2:hashCode="MduVpIYdtQXe36" int2:id="bBvlOJre">
      <int2:state int2:value="Rejected" int2:type="WordDesignerDefaultAnnotation"/>
    </int2:bookmark>
    <int2:bookmark int2:bookmarkName="_Int_HhNyNoTW" int2:invalidationBookmarkName="" int2:hashCode="dalNooyseA++F1" int2:id="bG7nA1wz">
      <int2:state int2:value="Rejected" int2:type="LegacyProofing"/>
    </int2:bookmark>
    <int2:bookmark int2:bookmarkName="_Int_reaEjVbI" int2:invalidationBookmarkName="" int2:hashCode="tW3nIRqvYuGGh5" int2:id="cGBAjyR2">
      <int2:state int2:value="Rejected" int2:type="WordDesignerDefaultAnnotation"/>
    </int2:bookmark>
    <int2:bookmark int2:bookmarkName="_Int_fq4ANPpf" int2:invalidationBookmarkName="" int2:hashCode="sdE7RMrKfKMQWB" int2:id="csxfIFy9">
      <int2:state int2:value="Rejected" int2:type="WordDesignerDefaultAnnotation"/>
    </int2:bookmark>
    <int2:bookmark int2:bookmarkName="_Int_4kjVtCpo" int2:invalidationBookmarkName="" int2:hashCode="ONxmYfosEHL2op" int2:id="d8VAzk1x">
      <int2:state int2:value="Rejected" int2:type="WordDesignerDefaultAnnotation"/>
    </int2:bookmark>
    <int2:bookmark int2:bookmarkName="_Int_9CvBU1iN" int2:invalidationBookmarkName="" int2:hashCode="ZXTOBqomvE/38h" int2:id="dzK0eLSR">
      <int2:state int2:value="Rejected" int2:type="LegacyProofing"/>
    </int2:bookmark>
    <int2:bookmark int2:bookmarkName="_Int_8W05M3Q7" int2:invalidationBookmarkName="" int2:hashCode="AIZ1RyzpZdA88U" int2:id="foEdv6no">
      <int2:state int2:value="Rejected" int2:type="WordDesignerDefaultAnnotation"/>
    </int2:bookmark>
    <int2:bookmark int2:bookmarkName="_Int_p3iL7TQF" int2:invalidationBookmarkName="" int2:hashCode="iVhcY0ok1xWFYa" int2:id="imZl76Ot">
      <int2:state int2:value="Rejected" int2:type="WordDesignerDefaultAnnotation"/>
    </int2:bookmark>
    <int2:bookmark int2:bookmarkName="_Int_CQ0YjK9N" int2:invalidationBookmarkName="" int2:hashCode="361cSDhTXrXx/6" int2:id="ioc1z3Tx">
      <int2:state int2:value="Rejected" int2:type="LegacyProofing"/>
    </int2:bookmark>
    <int2:bookmark int2:bookmarkName="_Int_lqAxLY2R" int2:invalidationBookmarkName="" int2:hashCode="wonCeB0sE+Vljf" int2:id="nyE65PXZ">
      <int2:state int2:value="Rejected" int2:type="WordDesignerDefaultAnnotation"/>
    </int2:bookmark>
    <int2:bookmark int2:bookmarkName="_Int_FcHYE833" int2:invalidationBookmarkName="" int2:hashCode="zmFPYqxJcxTZig" int2:id="qPtLSn7w">
      <int2:state int2:value="Rejected" int2:type="WordDesignerDefaultAnnotation"/>
    </int2:bookmark>
    <int2:bookmark int2:bookmarkName="_Int_CFuhU9YA" int2:invalidationBookmarkName="" int2:hashCode="kfsE8ZDOKG6vei" int2:id="rtuv9B1H">
      <int2:state int2:value="Rejected" int2:type="WordDesignerDefaultAnnotation"/>
    </int2:bookmark>
    <int2:bookmark int2:bookmarkName="_Int_19mNZdhe" int2:invalidationBookmarkName="" int2:hashCode="Rp9IzuCy2H2ms1" int2:id="syQPEa66">
      <int2:state int2:value="Rejected" int2:type="WordDesignerDefaultAnnotation"/>
    </int2:bookmark>
    <int2:bookmark int2:bookmarkName="_Int_qCjKIi7u" int2:invalidationBookmarkName="" int2:hashCode="9Mmmn3FcPGCqL8" int2:id="t8hfL3ap">
      <int2:state int2:value="Rejected" int2:type="LegacyProofing"/>
    </int2:bookmark>
    <int2:bookmark int2:bookmarkName="_Int_CIgPSBEr" int2:invalidationBookmarkName="" int2:hashCode="gQcgx11abmthAc" int2:id="whzy2bO2">
      <int2:state int2:value="Rejected" int2:type="LegacyProofing"/>
    </int2:bookmark>
    <int2:bookmark int2:bookmarkName="_Int_x7tA6nKA" int2:invalidationBookmarkName="" int2:hashCode="yebjlETTPOOF8r" int2:id="wognwApT">
      <int2:state int2:value="Rejected" int2:type="WordDesignerDefaultAnnotation"/>
    </int2:bookmark>
    <int2:bookmark int2:bookmarkName="_Int_2W0ucWTz" int2:invalidationBookmarkName="" int2:hashCode="n+NNdkb+hIbnmV" int2:id="xAmdhD66">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15"/>
    <w:multiLevelType w:val="hybridMultilevel"/>
    <w:tmpl w:val="366AEA52"/>
    <w:lvl w:ilvl="0" w:tplc="0C090001">
      <w:start w:val="1"/>
      <w:numFmt w:val="bullet"/>
      <w:lvlText w:val=""/>
      <w:lvlJc w:val="left"/>
      <w:pPr>
        <w:ind w:left="996" w:hanging="360"/>
      </w:pPr>
      <w:rPr>
        <w:rFonts w:ascii="Symbol" w:hAnsi="Symbol" w:hint="default"/>
      </w:rPr>
    </w:lvl>
    <w:lvl w:ilvl="1" w:tplc="0C090003" w:tentative="1">
      <w:start w:val="1"/>
      <w:numFmt w:val="bullet"/>
      <w:lvlText w:val="o"/>
      <w:lvlJc w:val="left"/>
      <w:pPr>
        <w:ind w:left="1716" w:hanging="360"/>
      </w:pPr>
      <w:rPr>
        <w:rFonts w:ascii="Courier New" w:hAnsi="Courier New" w:cs="Courier New" w:hint="default"/>
      </w:rPr>
    </w:lvl>
    <w:lvl w:ilvl="2" w:tplc="0C090005" w:tentative="1">
      <w:start w:val="1"/>
      <w:numFmt w:val="bullet"/>
      <w:lvlText w:val=""/>
      <w:lvlJc w:val="left"/>
      <w:pPr>
        <w:ind w:left="2436" w:hanging="360"/>
      </w:pPr>
      <w:rPr>
        <w:rFonts w:ascii="Wingdings" w:hAnsi="Wingdings" w:hint="default"/>
      </w:rPr>
    </w:lvl>
    <w:lvl w:ilvl="3" w:tplc="0C090001" w:tentative="1">
      <w:start w:val="1"/>
      <w:numFmt w:val="bullet"/>
      <w:lvlText w:val=""/>
      <w:lvlJc w:val="left"/>
      <w:pPr>
        <w:ind w:left="3156" w:hanging="360"/>
      </w:pPr>
      <w:rPr>
        <w:rFonts w:ascii="Symbol" w:hAnsi="Symbol" w:hint="default"/>
      </w:rPr>
    </w:lvl>
    <w:lvl w:ilvl="4" w:tplc="0C090003" w:tentative="1">
      <w:start w:val="1"/>
      <w:numFmt w:val="bullet"/>
      <w:lvlText w:val="o"/>
      <w:lvlJc w:val="left"/>
      <w:pPr>
        <w:ind w:left="3876" w:hanging="360"/>
      </w:pPr>
      <w:rPr>
        <w:rFonts w:ascii="Courier New" w:hAnsi="Courier New" w:cs="Courier New" w:hint="default"/>
      </w:rPr>
    </w:lvl>
    <w:lvl w:ilvl="5" w:tplc="0C090005" w:tentative="1">
      <w:start w:val="1"/>
      <w:numFmt w:val="bullet"/>
      <w:lvlText w:val=""/>
      <w:lvlJc w:val="left"/>
      <w:pPr>
        <w:ind w:left="4596" w:hanging="360"/>
      </w:pPr>
      <w:rPr>
        <w:rFonts w:ascii="Wingdings" w:hAnsi="Wingdings" w:hint="default"/>
      </w:rPr>
    </w:lvl>
    <w:lvl w:ilvl="6" w:tplc="0C090001" w:tentative="1">
      <w:start w:val="1"/>
      <w:numFmt w:val="bullet"/>
      <w:lvlText w:val=""/>
      <w:lvlJc w:val="left"/>
      <w:pPr>
        <w:ind w:left="5316" w:hanging="360"/>
      </w:pPr>
      <w:rPr>
        <w:rFonts w:ascii="Symbol" w:hAnsi="Symbol" w:hint="default"/>
      </w:rPr>
    </w:lvl>
    <w:lvl w:ilvl="7" w:tplc="0C090003" w:tentative="1">
      <w:start w:val="1"/>
      <w:numFmt w:val="bullet"/>
      <w:lvlText w:val="o"/>
      <w:lvlJc w:val="left"/>
      <w:pPr>
        <w:ind w:left="6036" w:hanging="360"/>
      </w:pPr>
      <w:rPr>
        <w:rFonts w:ascii="Courier New" w:hAnsi="Courier New" w:cs="Courier New" w:hint="default"/>
      </w:rPr>
    </w:lvl>
    <w:lvl w:ilvl="8" w:tplc="0C090005" w:tentative="1">
      <w:start w:val="1"/>
      <w:numFmt w:val="bullet"/>
      <w:lvlText w:val=""/>
      <w:lvlJc w:val="left"/>
      <w:pPr>
        <w:ind w:left="6756" w:hanging="360"/>
      </w:pPr>
      <w:rPr>
        <w:rFonts w:ascii="Wingdings" w:hAnsi="Wingdings" w:hint="default"/>
      </w:rPr>
    </w:lvl>
  </w:abstractNum>
  <w:abstractNum w:abstractNumId="1" w15:restartNumberingAfterBreak="0">
    <w:nsid w:val="068B37FE"/>
    <w:multiLevelType w:val="multilevel"/>
    <w:tmpl w:val="7B642B9A"/>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82D62F4"/>
    <w:multiLevelType w:val="hybridMultilevel"/>
    <w:tmpl w:val="FFFFFFFF"/>
    <w:lvl w:ilvl="0" w:tplc="F112F442">
      <w:start w:val="1"/>
      <w:numFmt w:val="decimal"/>
      <w:lvlText w:val="%1."/>
      <w:lvlJc w:val="left"/>
      <w:pPr>
        <w:ind w:left="720" w:hanging="360"/>
      </w:pPr>
    </w:lvl>
    <w:lvl w:ilvl="1" w:tplc="07B02AB2">
      <w:start w:val="1"/>
      <w:numFmt w:val="lowerLetter"/>
      <w:lvlText w:val="%2."/>
      <w:lvlJc w:val="left"/>
      <w:pPr>
        <w:ind w:left="1440" w:hanging="360"/>
      </w:pPr>
    </w:lvl>
    <w:lvl w:ilvl="2" w:tplc="50568D42">
      <w:start w:val="1"/>
      <w:numFmt w:val="lowerRoman"/>
      <w:lvlText w:val="%3."/>
      <w:lvlJc w:val="right"/>
      <w:pPr>
        <w:ind w:left="2160" w:hanging="180"/>
      </w:pPr>
    </w:lvl>
    <w:lvl w:ilvl="3" w:tplc="A8900704">
      <w:start w:val="1"/>
      <w:numFmt w:val="decimal"/>
      <w:lvlText w:val="%4."/>
      <w:lvlJc w:val="left"/>
      <w:pPr>
        <w:ind w:left="2880" w:hanging="360"/>
      </w:pPr>
    </w:lvl>
    <w:lvl w:ilvl="4" w:tplc="A47CC4A8">
      <w:start w:val="1"/>
      <w:numFmt w:val="lowerLetter"/>
      <w:lvlText w:val="%5."/>
      <w:lvlJc w:val="left"/>
      <w:pPr>
        <w:ind w:left="3600" w:hanging="360"/>
      </w:pPr>
    </w:lvl>
    <w:lvl w:ilvl="5" w:tplc="FF82D37E">
      <w:start w:val="1"/>
      <w:numFmt w:val="lowerRoman"/>
      <w:lvlText w:val="%6."/>
      <w:lvlJc w:val="right"/>
      <w:pPr>
        <w:ind w:left="4320" w:hanging="180"/>
      </w:pPr>
    </w:lvl>
    <w:lvl w:ilvl="6" w:tplc="24E48B5E">
      <w:start w:val="1"/>
      <w:numFmt w:val="decimal"/>
      <w:lvlText w:val="%7."/>
      <w:lvlJc w:val="left"/>
      <w:pPr>
        <w:ind w:left="5040" w:hanging="360"/>
      </w:pPr>
    </w:lvl>
    <w:lvl w:ilvl="7" w:tplc="F64C7AF6">
      <w:start w:val="1"/>
      <w:numFmt w:val="lowerLetter"/>
      <w:lvlText w:val="%8."/>
      <w:lvlJc w:val="left"/>
      <w:pPr>
        <w:ind w:left="5760" w:hanging="360"/>
      </w:pPr>
    </w:lvl>
    <w:lvl w:ilvl="8" w:tplc="9956DC58">
      <w:start w:val="1"/>
      <w:numFmt w:val="lowerRoman"/>
      <w:lvlText w:val="%9."/>
      <w:lvlJc w:val="right"/>
      <w:pPr>
        <w:ind w:left="6480" w:hanging="180"/>
      </w:pPr>
    </w:lvl>
  </w:abstractNum>
  <w:abstractNum w:abstractNumId="3" w15:restartNumberingAfterBreak="0">
    <w:nsid w:val="09C156FD"/>
    <w:multiLevelType w:val="hybridMultilevel"/>
    <w:tmpl w:val="0E88D1C8"/>
    <w:lvl w:ilvl="0" w:tplc="084215D6">
      <w:numFmt w:val="bullet"/>
      <w:lvlText w:val="-"/>
      <w:lvlJc w:val="left"/>
      <w:pPr>
        <w:ind w:left="502" w:hanging="360"/>
      </w:pPr>
      <w:rPr>
        <w:rFonts w:ascii="Arial" w:eastAsia="Calibr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19555D"/>
    <w:multiLevelType w:val="hybridMultilevel"/>
    <w:tmpl w:val="16C4DEF0"/>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5"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72CE"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485D1C"/>
    <w:multiLevelType w:val="hybridMultilevel"/>
    <w:tmpl w:val="80581DCC"/>
    <w:lvl w:ilvl="0" w:tplc="B3F2FC4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39714B"/>
    <w:multiLevelType w:val="hybridMultilevel"/>
    <w:tmpl w:val="EB7E03AE"/>
    <w:lvl w:ilvl="0" w:tplc="22963F0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714ED6"/>
    <w:multiLevelType w:val="hybridMultilevel"/>
    <w:tmpl w:val="36B41B38"/>
    <w:lvl w:ilvl="0" w:tplc="B3F2FC4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A84693D"/>
    <w:multiLevelType w:val="hybridMultilevel"/>
    <w:tmpl w:val="3E8A8AD6"/>
    <w:lvl w:ilvl="0" w:tplc="A7B0B580">
      <w:start w:val="1"/>
      <w:numFmt w:val="bullet"/>
      <w:lvlText w:val="•"/>
      <w:lvlJc w:val="left"/>
      <w:pPr>
        <w:tabs>
          <w:tab w:val="num" w:pos="360"/>
        </w:tabs>
        <w:ind w:left="360" w:hanging="360"/>
      </w:pPr>
      <w:rPr>
        <w:rFonts w:ascii="Arial" w:hAnsi="Arial" w:hint="default"/>
      </w:rPr>
    </w:lvl>
    <w:lvl w:ilvl="1" w:tplc="73644BF4" w:tentative="1">
      <w:start w:val="1"/>
      <w:numFmt w:val="bullet"/>
      <w:lvlText w:val="•"/>
      <w:lvlJc w:val="left"/>
      <w:pPr>
        <w:tabs>
          <w:tab w:val="num" w:pos="1080"/>
        </w:tabs>
        <w:ind w:left="1080" w:hanging="360"/>
      </w:pPr>
      <w:rPr>
        <w:rFonts w:ascii="Arial" w:hAnsi="Arial" w:hint="default"/>
      </w:rPr>
    </w:lvl>
    <w:lvl w:ilvl="2" w:tplc="40E4EB3E" w:tentative="1">
      <w:start w:val="1"/>
      <w:numFmt w:val="bullet"/>
      <w:lvlText w:val="•"/>
      <w:lvlJc w:val="left"/>
      <w:pPr>
        <w:tabs>
          <w:tab w:val="num" w:pos="1800"/>
        </w:tabs>
        <w:ind w:left="1800" w:hanging="360"/>
      </w:pPr>
      <w:rPr>
        <w:rFonts w:ascii="Arial" w:hAnsi="Arial" w:hint="default"/>
      </w:rPr>
    </w:lvl>
    <w:lvl w:ilvl="3" w:tplc="27041E2E" w:tentative="1">
      <w:start w:val="1"/>
      <w:numFmt w:val="bullet"/>
      <w:lvlText w:val="•"/>
      <w:lvlJc w:val="left"/>
      <w:pPr>
        <w:tabs>
          <w:tab w:val="num" w:pos="2520"/>
        </w:tabs>
        <w:ind w:left="2520" w:hanging="360"/>
      </w:pPr>
      <w:rPr>
        <w:rFonts w:ascii="Arial" w:hAnsi="Arial" w:hint="default"/>
      </w:rPr>
    </w:lvl>
    <w:lvl w:ilvl="4" w:tplc="471EDF52" w:tentative="1">
      <w:start w:val="1"/>
      <w:numFmt w:val="bullet"/>
      <w:lvlText w:val="•"/>
      <w:lvlJc w:val="left"/>
      <w:pPr>
        <w:tabs>
          <w:tab w:val="num" w:pos="3240"/>
        </w:tabs>
        <w:ind w:left="3240" w:hanging="360"/>
      </w:pPr>
      <w:rPr>
        <w:rFonts w:ascii="Arial" w:hAnsi="Arial" w:hint="default"/>
      </w:rPr>
    </w:lvl>
    <w:lvl w:ilvl="5" w:tplc="FE860100" w:tentative="1">
      <w:start w:val="1"/>
      <w:numFmt w:val="bullet"/>
      <w:lvlText w:val="•"/>
      <w:lvlJc w:val="left"/>
      <w:pPr>
        <w:tabs>
          <w:tab w:val="num" w:pos="3960"/>
        </w:tabs>
        <w:ind w:left="3960" w:hanging="360"/>
      </w:pPr>
      <w:rPr>
        <w:rFonts w:ascii="Arial" w:hAnsi="Arial" w:hint="default"/>
      </w:rPr>
    </w:lvl>
    <w:lvl w:ilvl="6" w:tplc="AD0ACEA0" w:tentative="1">
      <w:start w:val="1"/>
      <w:numFmt w:val="bullet"/>
      <w:lvlText w:val="•"/>
      <w:lvlJc w:val="left"/>
      <w:pPr>
        <w:tabs>
          <w:tab w:val="num" w:pos="4680"/>
        </w:tabs>
        <w:ind w:left="4680" w:hanging="360"/>
      </w:pPr>
      <w:rPr>
        <w:rFonts w:ascii="Arial" w:hAnsi="Arial" w:hint="default"/>
      </w:rPr>
    </w:lvl>
    <w:lvl w:ilvl="7" w:tplc="6F687D00" w:tentative="1">
      <w:start w:val="1"/>
      <w:numFmt w:val="bullet"/>
      <w:lvlText w:val="•"/>
      <w:lvlJc w:val="left"/>
      <w:pPr>
        <w:tabs>
          <w:tab w:val="num" w:pos="5400"/>
        </w:tabs>
        <w:ind w:left="5400" w:hanging="360"/>
      </w:pPr>
      <w:rPr>
        <w:rFonts w:ascii="Arial" w:hAnsi="Arial" w:hint="default"/>
      </w:rPr>
    </w:lvl>
    <w:lvl w:ilvl="8" w:tplc="C8F6FD1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7CB5694"/>
    <w:multiLevelType w:val="hybridMultilevel"/>
    <w:tmpl w:val="8A242D92"/>
    <w:lvl w:ilvl="0" w:tplc="A1CA2E5E">
      <w:start w:val="1"/>
      <w:numFmt w:val="bullet"/>
      <w:lvlText w:val="•"/>
      <w:lvlJc w:val="left"/>
      <w:pPr>
        <w:tabs>
          <w:tab w:val="num" w:pos="720"/>
        </w:tabs>
        <w:ind w:left="720" w:hanging="360"/>
      </w:pPr>
      <w:rPr>
        <w:rFonts w:ascii="Times New Roman" w:hAnsi="Times New Roman" w:hint="default"/>
      </w:rPr>
    </w:lvl>
    <w:lvl w:ilvl="1" w:tplc="11A2B974" w:tentative="1">
      <w:start w:val="1"/>
      <w:numFmt w:val="bullet"/>
      <w:lvlText w:val="•"/>
      <w:lvlJc w:val="left"/>
      <w:pPr>
        <w:tabs>
          <w:tab w:val="num" w:pos="1440"/>
        </w:tabs>
        <w:ind w:left="1440" w:hanging="360"/>
      </w:pPr>
      <w:rPr>
        <w:rFonts w:ascii="Times New Roman" w:hAnsi="Times New Roman" w:hint="default"/>
      </w:rPr>
    </w:lvl>
    <w:lvl w:ilvl="2" w:tplc="1C36938C" w:tentative="1">
      <w:start w:val="1"/>
      <w:numFmt w:val="bullet"/>
      <w:lvlText w:val="•"/>
      <w:lvlJc w:val="left"/>
      <w:pPr>
        <w:tabs>
          <w:tab w:val="num" w:pos="2160"/>
        </w:tabs>
        <w:ind w:left="2160" w:hanging="360"/>
      </w:pPr>
      <w:rPr>
        <w:rFonts w:ascii="Times New Roman" w:hAnsi="Times New Roman" w:hint="default"/>
      </w:rPr>
    </w:lvl>
    <w:lvl w:ilvl="3" w:tplc="CB725290" w:tentative="1">
      <w:start w:val="1"/>
      <w:numFmt w:val="bullet"/>
      <w:lvlText w:val="•"/>
      <w:lvlJc w:val="left"/>
      <w:pPr>
        <w:tabs>
          <w:tab w:val="num" w:pos="2880"/>
        </w:tabs>
        <w:ind w:left="2880" w:hanging="360"/>
      </w:pPr>
      <w:rPr>
        <w:rFonts w:ascii="Times New Roman" w:hAnsi="Times New Roman" w:hint="default"/>
      </w:rPr>
    </w:lvl>
    <w:lvl w:ilvl="4" w:tplc="B5A04686" w:tentative="1">
      <w:start w:val="1"/>
      <w:numFmt w:val="bullet"/>
      <w:lvlText w:val="•"/>
      <w:lvlJc w:val="left"/>
      <w:pPr>
        <w:tabs>
          <w:tab w:val="num" w:pos="3600"/>
        </w:tabs>
        <w:ind w:left="3600" w:hanging="360"/>
      </w:pPr>
      <w:rPr>
        <w:rFonts w:ascii="Times New Roman" w:hAnsi="Times New Roman" w:hint="default"/>
      </w:rPr>
    </w:lvl>
    <w:lvl w:ilvl="5" w:tplc="0492BA66" w:tentative="1">
      <w:start w:val="1"/>
      <w:numFmt w:val="bullet"/>
      <w:lvlText w:val="•"/>
      <w:lvlJc w:val="left"/>
      <w:pPr>
        <w:tabs>
          <w:tab w:val="num" w:pos="4320"/>
        </w:tabs>
        <w:ind w:left="4320" w:hanging="360"/>
      </w:pPr>
      <w:rPr>
        <w:rFonts w:ascii="Times New Roman" w:hAnsi="Times New Roman" w:hint="default"/>
      </w:rPr>
    </w:lvl>
    <w:lvl w:ilvl="6" w:tplc="57ACB2E2" w:tentative="1">
      <w:start w:val="1"/>
      <w:numFmt w:val="bullet"/>
      <w:lvlText w:val="•"/>
      <w:lvlJc w:val="left"/>
      <w:pPr>
        <w:tabs>
          <w:tab w:val="num" w:pos="5040"/>
        </w:tabs>
        <w:ind w:left="5040" w:hanging="360"/>
      </w:pPr>
      <w:rPr>
        <w:rFonts w:ascii="Times New Roman" w:hAnsi="Times New Roman" w:hint="default"/>
      </w:rPr>
    </w:lvl>
    <w:lvl w:ilvl="7" w:tplc="1E7869C0" w:tentative="1">
      <w:start w:val="1"/>
      <w:numFmt w:val="bullet"/>
      <w:lvlText w:val="•"/>
      <w:lvlJc w:val="left"/>
      <w:pPr>
        <w:tabs>
          <w:tab w:val="num" w:pos="5760"/>
        </w:tabs>
        <w:ind w:left="5760" w:hanging="360"/>
      </w:pPr>
      <w:rPr>
        <w:rFonts w:ascii="Times New Roman" w:hAnsi="Times New Roman" w:hint="default"/>
      </w:rPr>
    </w:lvl>
    <w:lvl w:ilvl="8" w:tplc="6804DB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1C4760C"/>
    <w:multiLevelType w:val="hybridMultilevel"/>
    <w:tmpl w:val="BD1EE0F0"/>
    <w:lvl w:ilvl="0" w:tplc="FF1C7470">
      <w:start w:val="1"/>
      <w:numFmt w:val="bullet"/>
      <w:pStyle w:val="ListParagraph"/>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467C7"/>
    <w:multiLevelType w:val="hybridMultilevel"/>
    <w:tmpl w:val="FADA0D6C"/>
    <w:lvl w:ilvl="0" w:tplc="FFFFFFFF">
      <w:start w:val="1"/>
      <w:numFmt w:val="bullet"/>
      <w:lvlText w:val="•"/>
      <w:lvlJc w:val="left"/>
      <w:pPr>
        <w:ind w:left="770" w:hanging="360"/>
      </w:pPr>
      <w:rPr>
        <w:rFonts w:ascii="Calibri Light" w:hAnsi="Calibri Light"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62782A"/>
    <w:multiLevelType w:val="hybridMultilevel"/>
    <w:tmpl w:val="85DA8F8E"/>
    <w:lvl w:ilvl="0" w:tplc="A4F82C3E">
      <w:start w:val="1"/>
      <w:numFmt w:val="bullet"/>
      <w:lvlText w:val=""/>
      <w:lvlJc w:val="left"/>
      <w:pPr>
        <w:ind w:left="720" w:hanging="360"/>
      </w:pPr>
      <w:rPr>
        <w:rFonts w:ascii="Symbol" w:hAnsi="Symbol" w:hint="default"/>
      </w:rPr>
    </w:lvl>
    <w:lvl w:ilvl="1" w:tplc="D242E25A">
      <w:start w:val="1"/>
      <w:numFmt w:val="bullet"/>
      <w:lvlText w:val="o"/>
      <w:lvlJc w:val="left"/>
      <w:pPr>
        <w:ind w:left="1440" w:hanging="360"/>
      </w:pPr>
      <w:rPr>
        <w:rFonts w:ascii="Courier New" w:hAnsi="Courier New" w:hint="default"/>
      </w:rPr>
    </w:lvl>
    <w:lvl w:ilvl="2" w:tplc="1A7A1EB0">
      <w:start w:val="1"/>
      <w:numFmt w:val="bullet"/>
      <w:lvlText w:val=""/>
      <w:lvlJc w:val="left"/>
      <w:pPr>
        <w:ind w:left="2160" w:hanging="360"/>
      </w:pPr>
      <w:rPr>
        <w:rFonts w:ascii="Wingdings" w:hAnsi="Wingdings" w:hint="default"/>
      </w:rPr>
    </w:lvl>
    <w:lvl w:ilvl="3" w:tplc="AC14E622">
      <w:start w:val="1"/>
      <w:numFmt w:val="bullet"/>
      <w:lvlText w:val=""/>
      <w:lvlJc w:val="left"/>
      <w:pPr>
        <w:ind w:left="2880" w:hanging="360"/>
      </w:pPr>
      <w:rPr>
        <w:rFonts w:ascii="Symbol" w:hAnsi="Symbol" w:hint="default"/>
      </w:rPr>
    </w:lvl>
    <w:lvl w:ilvl="4" w:tplc="484879F0">
      <w:start w:val="1"/>
      <w:numFmt w:val="bullet"/>
      <w:lvlText w:val="o"/>
      <w:lvlJc w:val="left"/>
      <w:pPr>
        <w:ind w:left="3600" w:hanging="360"/>
      </w:pPr>
      <w:rPr>
        <w:rFonts w:ascii="Courier New" w:hAnsi="Courier New" w:hint="default"/>
      </w:rPr>
    </w:lvl>
    <w:lvl w:ilvl="5" w:tplc="928692B0">
      <w:start w:val="1"/>
      <w:numFmt w:val="bullet"/>
      <w:lvlText w:val=""/>
      <w:lvlJc w:val="left"/>
      <w:pPr>
        <w:ind w:left="4320" w:hanging="360"/>
      </w:pPr>
      <w:rPr>
        <w:rFonts w:ascii="Wingdings" w:hAnsi="Wingdings" w:hint="default"/>
      </w:rPr>
    </w:lvl>
    <w:lvl w:ilvl="6" w:tplc="FBD25154">
      <w:start w:val="1"/>
      <w:numFmt w:val="bullet"/>
      <w:lvlText w:val=""/>
      <w:lvlJc w:val="left"/>
      <w:pPr>
        <w:ind w:left="5040" w:hanging="360"/>
      </w:pPr>
      <w:rPr>
        <w:rFonts w:ascii="Symbol" w:hAnsi="Symbol" w:hint="default"/>
      </w:rPr>
    </w:lvl>
    <w:lvl w:ilvl="7" w:tplc="574A1BC8">
      <w:start w:val="1"/>
      <w:numFmt w:val="bullet"/>
      <w:lvlText w:val="o"/>
      <w:lvlJc w:val="left"/>
      <w:pPr>
        <w:ind w:left="5760" w:hanging="360"/>
      </w:pPr>
      <w:rPr>
        <w:rFonts w:ascii="Courier New" w:hAnsi="Courier New" w:hint="default"/>
      </w:rPr>
    </w:lvl>
    <w:lvl w:ilvl="8" w:tplc="06C4F7F2">
      <w:start w:val="1"/>
      <w:numFmt w:val="bullet"/>
      <w:lvlText w:val=""/>
      <w:lvlJc w:val="left"/>
      <w:pPr>
        <w:ind w:left="6480" w:hanging="360"/>
      </w:pPr>
      <w:rPr>
        <w:rFonts w:ascii="Wingdings" w:hAnsi="Wingdings" w:hint="default"/>
      </w:rPr>
    </w:lvl>
  </w:abstractNum>
  <w:abstractNum w:abstractNumId="20" w15:restartNumberingAfterBreak="0">
    <w:nsid w:val="3C9E4115"/>
    <w:multiLevelType w:val="hybridMultilevel"/>
    <w:tmpl w:val="18B65DAC"/>
    <w:lvl w:ilvl="0" w:tplc="A1CA2E5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646C98"/>
    <w:multiLevelType w:val="hybridMultilevel"/>
    <w:tmpl w:val="FFFFFFFF"/>
    <w:lvl w:ilvl="0" w:tplc="A798DB38">
      <w:start w:val="1"/>
      <w:numFmt w:val="bullet"/>
      <w:lvlText w:val="·"/>
      <w:lvlJc w:val="left"/>
      <w:pPr>
        <w:ind w:left="720" w:hanging="360"/>
      </w:pPr>
      <w:rPr>
        <w:rFonts w:ascii="Symbol" w:hAnsi="Symbol" w:hint="default"/>
      </w:rPr>
    </w:lvl>
    <w:lvl w:ilvl="1" w:tplc="B1F6BB2A">
      <w:start w:val="1"/>
      <w:numFmt w:val="bullet"/>
      <w:lvlText w:val="o"/>
      <w:lvlJc w:val="left"/>
      <w:pPr>
        <w:ind w:left="1440" w:hanging="360"/>
      </w:pPr>
      <w:rPr>
        <w:rFonts w:ascii="Courier New" w:hAnsi="Courier New" w:hint="default"/>
      </w:rPr>
    </w:lvl>
    <w:lvl w:ilvl="2" w:tplc="EF6485F8">
      <w:start w:val="1"/>
      <w:numFmt w:val="bullet"/>
      <w:lvlText w:val=""/>
      <w:lvlJc w:val="left"/>
      <w:pPr>
        <w:ind w:left="2160" w:hanging="360"/>
      </w:pPr>
      <w:rPr>
        <w:rFonts w:ascii="Wingdings" w:hAnsi="Wingdings" w:hint="default"/>
      </w:rPr>
    </w:lvl>
    <w:lvl w:ilvl="3" w:tplc="E402C3B0">
      <w:start w:val="1"/>
      <w:numFmt w:val="bullet"/>
      <w:lvlText w:val=""/>
      <w:lvlJc w:val="left"/>
      <w:pPr>
        <w:ind w:left="2880" w:hanging="360"/>
      </w:pPr>
      <w:rPr>
        <w:rFonts w:ascii="Symbol" w:hAnsi="Symbol" w:hint="default"/>
      </w:rPr>
    </w:lvl>
    <w:lvl w:ilvl="4" w:tplc="E33402EA">
      <w:start w:val="1"/>
      <w:numFmt w:val="bullet"/>
      <w:lvlText w:val="o"/>
      <w:lvlJc w:val="left"/>
      <w:pPr>
        <w:ind w:left="3600" w:hanging="360"/>
      </w:pPr>
      <w:rPr>
        <w:rFonts w:ascii="Courier New" w:hAnsi="Courier New" w:hint="default"/>
      </w:rPr>
    </w:lvl>
    <w:lvl w:ilvl="5" w:tplc="3F228D14">
      <w:start w:val="1"/>
      <w:numFmt w:val="bullet"/>
      <w:lvlText w:val=""/>
      <w:lvlJc w:val="left"/>
      <w:pPr>
        <w:ind w:left="4320" w:hanging="360"/>
      </w:pPr>
      <w:rPr>
        <w:rFonts w:ascii="Wingdings" w:hAnsi="Wingdings" w:hint="default"/>
      </w:rPr>
    </w:lvl>
    <w:lvl w:ilvl="6" w:tplc="D7D6AABA">
      <w:start w:val="1"/>
      <w:numFmt w:val="bullet"/>
      <w:lvlText w:val=""/>
      <w:lvlJc w:val="left"/>
      <w:pPr>
        <w:ind w:left="5040" w:hanging="360"/>
      </w:pPr>
      <w:rPr>
        <w:rFonts w:ascii="Symbol" w:hAnsi="Symbol" w:hint="default"/>
      </w:rPr>
    </w:lvl>
    <w:lvl w:ilvl="7" w:tplc="5412D0DE">
      <w:start w:val="1"/>
      <w:numFmt w:val="bullet"/>
      <w:lvlText w:val="o"/>
      <w:lvlJc w:val="left"/>
      <w:pPr>
        <w:ind w:left="5760" w:hanging="360"/>
      </w:pPr>
      <w:rPr>
        <w:rFonts w:ascii="Courier New" w:hAnsi="Courier New" w:hint="default"/>
      </w:rPr>
    </w:lvl>
    <w:lvl w:ilvl="8" w:tplc="4ACA8418">
      <w:start w:val="1"/>
      <w:numFmt w:val="bullet"/>
      <w:lvlText w:val=""/>
      <w:lvlJc w:val="left"/>
      <w:pPr>
        <w:ind w:left="6480" w:hanging="360"/>
      </w:pPr>
      <w:rPr>
        <w:rFonts w:ascii="Wingdings" w:hAnsi="Wingding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EE2C40"/>
    <w:multiLevelType w:val="hybridMultilevel"/>
    <w:tmpl w:val="8496DEE8"/>
    <w:lvl w:ilvl="0" w:tplc="02BC350C">
      <w:start w:val="1"/>
      <w:numFmt w:val="bullet"/>
      <w:lvlText w:val=""/>
      <w:lvlJc w:val="left"/>
      <w:pPr>
        <w:ind w:left="720" w:hanging="360"/>
      </w:pPr>
      <w:rPr>
        <w:rFonts w:ascii="Symbol" w:hAnsi="Symbol" w:hint="default"/>
      </w:rPr>
    </w:lvl>
    <w:lvl w:ilvl="1" w:tplc="86D648D8">
      <w:start w:val="1"/>
      <w:numFmt w:val="bullet"/>
      <w:lvlText w:val="o"/>
      <w:lvlJc w:val="left"/>
      <w:pPr>
        <w:ind w:left="1440" w:hanging="360"/>
      </w:pPr>
      <w:rPr>
        <w:rFonts w:ascii="Courier New" w:hAnsi="Courier New" w:hint="default"/>
      </w:rPr>
    </w:lvl>
    <w:lvl w:ilvl="2" w:tplc="04128A1E">
      <w:start w:val="1"/>
      <w:numFmt w:val="bullet"/>
      <w:lvlText w:val=""/>
      <w:lvlJc w:val="left"/>
      <w:pPr>
        <w:ind w:left="2160" w:hanging="360"/>
      </w:pPr>
      <w:rPr>
        <w:rFonts w:ascii="Wingdings" w:hAnsi="Wingdings" w:hint="default"/>
      </w:rPr>
    </w:lvl>
    <w:lvl w:ilvl="3" w:tplc="094C2890">
      <w:start w:val="1"/>
      <w:numFmt w:val="bullet"/>
      <w:lvlText w:val=""/>
      <w:lvlJc w:val="left"/>
      <w:pPr>
        <w:ind w:left="2880" w:hanging="360"/>
      </w:pPr>
      <w:rPr>
        <w:rFonts w:ascii="Symbol" w:hAnsi="Symbol" w:hint="default"/>
      </w:rPr>
    </w:lvl>
    <w:lvl w:ilvl="4" w:tplc="6268C92C">
      <w:start w:val="1"/>
      <w:numFmt w:val="bullet"/>
      <w:lvlText w:val="o"/>
      <w:lvlJc w:val="left"/>
      <w:pPr>
        <w:ind w:left="3600" w:hanging="360"/>
      </w:pPr>
      <w:rPr>
        <w:rFonts w:ascii="Courier New" w:hAnsi="Courier New" w:hint="default"/>
      </w:rPr>
    </w:lvl>
    <w:lvl w:ilvl="5" w:tplc="3446B474">
      <w:start w:val="1"/>
      <w:numFmt w:val="bullet"/>
      <w:lvlText w:val=""/>
      <w:lvlJc w:val="left"/>
      <w:pPr>
        <w:ind w:left="4320" w:hanging="360"/>
      </w:pPr>
      <w:rPr>
        <w:rFonts w:ascii="Wingdings" w:hAnsi="Wingdings" w:hint="default"/>
      </w:rPr>
    </w:lvl>
    <w:lvl w:ilvl="6" w:tplc="624ED18A">
      <w:start w:val="1"/>
      <w:numFmt w:val="bullet"/>
      <w:lvlText w:val=""/>
      <w:lvlJc w:val="left"/>
      <w:pPr>
        <w:ind w:left="5040" w:hanging="360"/>
      </w:pPr>
      <w:rPr>
        <w:rFonts w:ascii="Symbol" w:hAnsi="Symbol" w:hint="default"/>
      </w:rPr>
    </w:lvl>
    <w:lvl w:ilvl="7" w:tplc="152CA11C">
      <w:start w:val="1"/>
      <w:numFmt w:val="bullet"/>
      <w:lvlText w:val="o"/>
      <w:lvlJc w:val="left"/>
      <w:pPr>
        <w:ind w:left="5760" w:hanging="360"/>
      </w:pPr>
      <w:rPr>
        <w:rFonts w:ascii="Courier New" w:hAnsi="Courier New" w:hint="default"/>
      </w:rPr>
    </w:lvl>
    <w:lvl w:ilvl="8" w:tplc="56FC54F0">
      <w:start w:val="1"/>
      <w:numFmt w:val="bullet"/>
      <w:lvlText w:val=""/>
      <w:lvlJc w:val="left"/>
      <w:pPr>
        <w:ind w:left="6480" w:hanging="360"/>
      </w:pPr>
      <w:rPr>
        <w:rFonts w:ascii="Wingdings" w:hAnsi="Wingdings" w:hint="default"/>
      </w:rPr>
    </w:lvl>
  </w:abstractNum>
  <w:abstractNum w:abstractNumId="25" w15:restartNumberingAfterBreak="0">
    <w:nsid w:val="49D94D88"/>
    <w:multiLevelType w:val="hybridMultilevel"/>
    <w:tmpl w:val="27C29C9E"/>
    <w:lvl w:ilvl="0" w:tplc="44329542">
      <w:start w:val="1"/>
      <w:numFmt w:val="bullet"/>
      <w:lvlText w:val="•"/>
      <w:lvlJc w:val="left"/>
      <w:pPr>
        <w:tabs>
          <w:tab w:val="num" w:pos="360"/>
        </w:tabs>
        <w:ind w:left="360" w:hanging="360"/>
      </w:pPr>
      <w:rPr>
        <w:rFonts w:ascii="Arial" w:hAnsi="Arial" w:hint="default"/>
      </w:rPr>
    </w:lvl>
    <w:lvl w:ilvl="1" w:tplc="9EC806E8" w:tentative="1">
      <w:start w:val="1"/>
      <w:numFmt w:val="bullet"/>
      <w:lvlText w:val="•"/>
      <w:lvlJc w:val="left"/>
      <w:pPr>
        <w:tabs>
          <w:tab w:val="num" w:pos="1080"/>
        </w:tabs>
        <w:ind w:left="1080" w:hanging="360"/>
      </w:pPr>
      <w:rPr>
        <w:rFonts w:ascii="Arial" w:hAnsi="Arial" w:hint="default"/>
      </w:rPr>
    </w:lvl>
    <w:lvl w:ilvl="2" w:tplc="3356D7DE" w:tentative="1">
      <w:start w:val="1"/>
      <w:numFmt w:val="bullet"/>
      <w:lvlText w:val="•"/>
      <w:lvlJc w:val="left"/>
      <w:pPr>
        <w:tabs>
          <w:tab w:val="num" w:pos="1800"/>
        </w:tabs>
        <w:ind w:left="1800" w:hanging="360"/>
      </w:pPr>
      <w:rPr>
        <w:rFonts w:ascii="Arial" w:hAnsi="Arial" w:hint="default"/>
      </w:rPr>
    </w:lvl>
    <w:lvl w:ilvl="3" w:tplc="0A3AD380" w:tentative="1">
      <w:start w:val="1"/>
      <w:numFmt w:val="bullet"/>
      <w:lvlText w:val="•"/>
      <w:lvlJc w:val="left"/>
      <w:pPr>
        <w:tabs>
          <w:tab w:val="num" w:pos="2520"/>
        </w:tabs>
        <w:ind w:left="2520" w:hanging="360"/>
      </w:pPr>
      <w:rPr>
        <w:rFonts w:ascii="Arial" w:hAnsi="Arial" w:hint="default"/>
      </w:rPr>
    </w:lvl>
    <w:lvl w:ilvl="4" w:tplc="4B0A0D00" w:tentative="1">
      <w:start w:val="1"/>
      <w:numFmt w:val="bullet"/>
      <w:lvlText w:val="•"/>
      <w:lvlJc w:val="left"/>
      <w:pPr>
        <w:tabs>
          <w:tab w:val="num" w:pos="3240"/>
        </w:tabs>
        <w:ind w:left="3240" w:hanging="360"/>
      </w:pPr>
      <w:rPr>
        <w:rFonts w:ascii="Arial" w:hAnsi="Arial" w:hint="default"/>
      </w:rPr>
    </w:lvl>
    <w:lvl w:ilvl="5" w:tplc="311210BA" w:tentative="1">
      <w:start w:val="1"/>
      <w:numFmt w:val="bullet"/>
      <w:lvlText w:val="•"/>
      <w:lvlJc w:val="left"/>
      <w:pPr>
        <w:tabs>
          <w:tab w:val="num" w:pos="3960"/>
        </w:tabs>
        <w:ind w:left="3960" w:hanging="360"/>
      </w:pPr>
      <w:rPr>
        <w:rFonts w:ascii="Arial" w:hAnsi="Arial" w:hint="default"/>
      </w:rPr>
    </w:lvl>
    <w:lvl w:ilvl="6" w:tplc="29840622" w:tentative="1">
      <w:start w:val="1"/>
      <w:numFmt w:val="bullet"/>
      <w:lvlText w:val="•"/>
      <w:lvlJc w:val="left"/>
      <w:pPr>
        <w:tabs>
          <w:tab w:val="num" w:pos="4680"/>
        </w:tabs>
        <w:ind w:left="4680" w:hanging="360"/>
      </w:pPr>
      <w:rPr>
        <w:rFonts w:ascii="Arial" w:hAnsi="Arial" w:hint="default"/>
      </w:rPr>
    </w:lvl>
    <w:lvl w:ilvl="7" w:tplc="AEBAAC8E" w:tentative="1">
      <w:start w:val="1"/>
      <w:numFmt w:val="bullet"/>
      <w:lvlText w:val="•"/>
      <w:lvlJc w:val="left"/>
      <w:pPr>
        <w:tabs>
          <w:tab w:val="num" w:pos="5400"/>
        </w:tabs>
        <w:ind w:left="5400" w:hanging="360"/>
      </w:pPr>
      <w:rPr>
        <w:rFonts w:ascii="Arial" w:hAnsi="Arial" w:hint="default"/>
      </w:rPr>
    </w:lvl>
    <w:lvl w:ilvl="8" w:tplc="356A832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A3E7CE8"/>
    <w:multiLevelType w:val="hybridMultilevel"/>
    <w:tmpl w:val="34761E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545EC4"/>
    <w:multiLevelType w:val="multilevel"/>
    <w:tmpl w:val="E1E8235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8" w15:restartNumberingAfterBreak="0">
    <w:nsid w:val="4F4A0DE7"/>
    <w:multiLevelType w:val="hybridMultilevel"/>
    <w:tmpl w:val="FFFFFFFF"/>
    <w:lvl w:ilvl="0" w:tplc="0AB8AE30">
      <w:start w:val="3"/>
      <w:numFmt w:val="decimal"/>
      <w:lvlText w:val="%1."/>
      <w:lvlJc w:val="left"/>
      <w:pPr>
        <w:ind w:left="720" w:hanging="360"/>
      </w:pPr>
    </w:lvl>
    <w:lvl w:ilvl="1" w:tplc="D7CA1F7A">
      <w:start w:val="1"/>
      <w:numFmt w:val="lowerLetter"/>
      <w:lvlText w:val="%2."/>
      <w:lvlJc w:val="left"/>
      <w:pPr>
        <w:ind w:left="1440" w:hanging="360"/>
      </w:pPr>
    </w:lvl>
    <w:lvl w:ilvl="2" w:tplc="FBB885C0">
      <w:start w:val="1"/>
      <w:numFmt w:val="lowerRoman"/>
      <w:lvlText w:val="%3."/>
      <w:lvlJc w:val="right"/>
      <w:pPr>
        <w:ind w:left="2160" w:hanging="180"/>
      </w:pPr>
    </w:lvl>
    <w:lvl w:ilvl="3" w:tplc="9D1482D8">
      <w:start w:val="1"/>
      <w:numFmt w:val="decimal"/>
      <w:lvlText w:val="%4."/>
      <w:lvlJc w:val="left"/>
      <w:pPr>
        <w:ind w:left="2880" w:hanging="360"/>
      </w:pPr>
    </w:lvl>
    <w:lvl w:ilvl="4" w:tplc="345404FC">
      <w:start w:val="1"/>
      <w:numFmt w:val="lowerLetter"/>
      <w:lvlText w:val="%5."/>
      <w:lvlJc w:val="left"/>
      <w:pPr>
        <w:ind w:left="3600" w:hanging="360"/>
      </w:pPr>
    </w:lvl>
    <w:lvl w:ilvl="5" w:tplc="B0D8CDA8">
      <w:start w:val="1"/>
      <w:numFmt w:val="lowerRoman"/>
      <w:lvlText w:val="%6."/>
      <w:lvlJc w:val="right"/>
      <w:pPr>
        <w:ind w:left="4320" w:hanging="180"/>
      </w:pPr>
    </w:lvl>
    <w:lvl w:ilvl="6" w:tplc="5D3E822C">
      <w:start w:val="1"/>
      <w:numFmt w:val="decimal"/>
      <w:lvlText w:val="%7."/>
      <w:lvlJc w:val="left"/>
      <w:pPr>
        <w:ind w:left="5040" w:hanging="360"/>
      </w:pPr>
    </w:lvl>
    <w:lvl w:ilvl="7" w:tplc="4E72DD0A">
      <w:start w:val="1"/>
      <w:numFmt w:val="lowerLetter"/>
      <w:lvlText w:val="%8."/>
      <w:lvlJc w:val="left"/>
      <w:pPr>
        <w:ind w:left="5760" w:hanging="360"/>
      </w:pPr>
    </w:lvl>
    <w:lvl w:ilvl="8" w:tplc="51F8FDAE">
      <w:start w:val="1"/>
      <w:numFmt w:val="lowerRoman"/>
      <w:lvlText w:val="%9."/>
      <w:lvlJc w:val="right"/>
      <w:pPr>
        <w:ind w:left="6480" w:hanging="180"/>
      </w:pPr>
    </w:lvl>
  </w:abstractNum>
  <w:abstractNum w:abstractNumId="2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7EB0D2C"/>
    <w:multiLevelType w:val="hybridMultilevel"/>
    <w:tmpl w:val="1A0A76C4"/>
    <w:lvl w:ilvl="0" w:tplc="DF381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71F6A"/>
    <w:multiLevelType w:val="hybridMultilevel"/>
    <w:tmpl w:val="FFFFFFFF"/>
    <w:lvl w:ilvl="0" w:tplc="4A423DF4">
      <w:start w:val="1"/>
      <w:numFmt w:val="decimal"/>
      <w:lvlText w:val="%1."/>
      <w:lvlJc w:val="left"/>
      <w:pPr>
        <w:ind w:left="720" w:hanging="360"/>
      </w:pPr>
    </w:lvl>
    <w:lvl w:ilvl="1" w:tplc="22A430BE">
      <w:start w:val="1"/>
      <w:numFmt w:val="lowerLetter"/>
      <w:lvlText w:val="%2."/>
      <w:lvlJc w:val="left"/>
      <w:pPr>
        <w:ind w:left="1440" w:hanging="360"/>
      </w:pPr>
    </w:lvl>
    <w:lvl w:ilvl="2" w:tplc="50C28DDE">
      <w:start w:val="1"/>
      <w:numFmt w:val="lowerRoman"/>
      <w:lvlText w:val="%3."/>
      <w:lvlJc w:val="right"/>
      <w:pPr>
        <w:ind w:left="2160" w:hanging="180"/>
      </w:pPr>
    </w:lvl>
    <w:lvl w:ilvl="3" w:tplc="E206C5C2">
      <w:start w:val="1"/>
      <w:numFmt w:val="decimal"/>
      <w:lvlText w:val="%4."/>
      <w:lvlJc w:val="left"/>
      <w:pPr>
        <w:ind w:left="2880" w:hanging="360"/>
      </w:pPr>
    </w:lvl>
    <w:lvl w:ilvl="4" w:tplc="26785472">
      <w:start w:val="1"/>
      <w:numFmt w:val="lowerLetter"/>
      <w:lvlText w:val="%5."/>
      <w:lvlJc w:val="left"/>
      <w:pPr>
        <w:ind w:left="3600" w:hanging="360"/>
      </w:pPr>
    </w:lvl>
    <w:lvl w:ilvl="5" w:tplc="F2D472C0">
      <w:start w:val="1"/>
      <w:numFmt w:val="lowerRoman"/>
      <w:lvlText w:val="%6."/>
      <w:lvlJc w:val="right"/>
      <w:pPr>
        <w:ind w:left="4320" w:hanging="180"/>
      </w:pPr>
    </w:lvl>
    <w:lvl w:ilvl="6" w:tplc="99DAD61A">
      <w:start w:val="1"/>
      <w:numFmt w:val="decimal"/>
      <w:lvlText w:val="%7."/>
      <w:lvlJc w:val="left"/>
      <w:pPr>
        <w:ind w:left="5040" w:hanging="360"/>
      </w:pPr>
    </w:lvl>
    <w:lvl w:ilvl="7" w:tplc="5E7AE6EC">
      <w:start w:val="1"/>
      <w:numFmt w:val="lowerLetter"/>
      <w:lvlText w:val="%8."/>
      <w:lvlJc w:val="left"/>
      <w:pPr>
        <w:ind w:left="5760" w:hanging="360"/>
      </w:pPr>
    </w:lvl>
    <w:lvl w:ilvl="8" w:tplc="994448D4">
      <w:start w:val="1"/>
      <w:numFmt w:val="lowerRoman"/>
      <w:lvlText w:val="%9."/>
      <w:lvlJc w:val="right"/>
      <w:pPr>
        <w:ind w:left="6480" w:hanging="180"/>
      </w:pPr>
    </w:lvl>
  </w:abstractNum>
  <w:abstractNum w:abstractNumId="33" w15:restartNumberingAfterBreak="0">
    <w:nsid w:val="59F85477"/>
    <w:multiLevelType w:val="hybridMultilevel"/>
    <w:tmpl w:val="50068672"/>
    <w:lvl w:ilvl="0" w:tplc="B3F2FC4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5DAB3D3F"/>
    <w:multiLevelType w:val="hybridMultilevel"/>
    <w:tmpl w:val="D30E4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E41DDE"/>
    <w:multiLevelType w:val="hybridMultilevel"/>
    <w:tmpl w:val="033EA690"/>
    <w:styleLink w:val="DELWPHeading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8" w15:restartNumberingAfterBreak="0">
    <w:nsid w:val="640720CB"/>
    <w:multiLevelType w:val="hybridMultilevel"/>
    <w:tmpl w:val="9B6A9DFC"/>
    <w:lvl w:ilvl="0" w:tplc="0AB8AE30">
      <w:start w:val="3"/>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BB885C0">
      <w:start w:val="1"/>
      <w:numFmt w:val="lowerRoman"/>
      <w:lvlText w:val="%3."/>
      <w:lvlJc w:val="right"/>
      <w:pPr>
        <w:ind w:left="2160" w:hanging="180"/>
      </w:pPr>
    </w:lvl>
    <w:lvl w:ilvl="3" w:tplc="9D1482D8">
      <w:start w:val="1"/>
      <w:numFmt w:val="decimal"/>
      <w:lvlText w:val="%4."/>
      <w:lvlJc w:val="left"/>
      <w:pPr>
        <w:ind w:left="2880" w:hanging="360"/>
      </w:pPr>
    </w:lvl>
    <w:lvl w:ilvl="4" w:tplc="345404FC">
      <w:start w:val="1"/>
      <w:numFmt w:val="lowerLetter"/>
      <w:lvlText w:val="%5."/>
      <w:lvlJc w:val="left"/>
      <w:pPr>
        <w:ind w:left="3600" w:hanging="360"/>
      </w:pPr>
    </w:lvl>
    <w:lvl w:ilvl="5" w:tplc="B0D8CDA8">
      <w:start w:val="1"/>
      <w:numFmt w:val="lowerRoman"/>
      <w:lvlText w:val="%6."/>
      <w:lvlJc w:val="right"/>
      <w:pPr>
        <w:ind w:left="4320" w:hanging="180"/>
      </w:pPr>
    </w:lvl>
    <w:lvl w:ilvl="6" w:tplc="5D3E822C">
      <w:start w:val="1"/>
      <w:numFmt w:val="decimal"/>
      <w:lvlText w:val="%7."/>
      <w:lvlJc w:val="left"/>
      <w:pPr>
        <w:ind w:left="5040" w:hanging="360"/>
      </w:pPr>
    </w:lvl>
    <w:lvl w:ilvl="7" w:tplc="4E72DD0A">
      <w:start w:val="1"/>
      <w:numFmt w:val="lowerLetter"/>
      <w:lvlText w:val="%8."/>
      <w:lvlJc w:val="left"/>
      <w:pPr>
        <w:ind w:left="5760" w:hanging="360"/>
      </w:pPr>
    </w:lvl>
    <w:lvl w:ilvl="8" w:tplc="51F8FDAE">
      <w:start w:val="1"/>
      <w:numFmt w:val="lowerRoman"/>
      <w:lvlText w:val="%9."/>
      <w:lvlJc w:val="right"/>
      <w:pPr>
        <w:ind w:left="6480" w:hanging="180"/>
      </w:pPr>
    </w:lvl>
  </w:abstractNum>
  <w:abstractNum w:abstractNumId="39" w15:restartNumberingAfterBreak="0">
    <w:nsid w:val="6A837C6D"/>
    <w:multiLevelType w:val="hybridMultilevel"/>
    <w:tmpl w:val="FFFFFFFF"/>
    <w:lvl w:ilvl="0" w:tplc="825EC66A">
      <w:start w:val="1"/>
      <w:numFmt w:val="bullet"/>
      <w:lvlText w:val="·"/>
      <w:lvlJc w:val="left"/>
      <w:pPr>
        <w:ind w:left="720" w:hanging="360"/>
      </w:pPr>
      <w:rPr>
        <w:rFonts w:ascii="Symbol" w:hAnsi="Symbol" w:hint="default"/>
      </w:rPr>
    </w:lvl>
    <w:lvl w:ilvl="1" w:tplc="599AF6FC">
      <w:start w:val="1"/>
      <w:numFmt w:val="bullet"/>
      <w:lvlText w:val="o"/>
      <w:lvlJc w:val="left"/>
      <w:pPr>
        <w:ind w:left="1440" w:hanging="360"/>
      </w:pPr>
      <w:rPr>
        <w:rFonts w:ascii="Courier New" w:hAnsi="Courier New" w:hint="default"/>
      </w:rPr>
    </w:lvl>
    <w:lvl w:ilvl="2" w:tplc="A53C635C">
      <w:start w:val="1"/>
      <w:numFmt w:val="bullet"/>
      <w:lvlText w:val=""/>
      <w:lvlJc w:val="left"/>
      <w:pPr>
        <w:ind w:left="2160" w:hanging="360"/>
      </w:pPr>
      <w:rPr>
        <w:rFonts w:ascii="Wingdings" w:hAnsi="Wingdings" w:hint="default"/>
      </w:rPr>
    </w:lvl>
    <w:lvl w:ilvl="3" w:tplc="2E0261A6">
      <w:start w:val="1"/>
      <w:numFmt w:val="bullet"/>
      <w:lvlText w:val=""/>
      <w:lvlJc w:val="left"/>
      <w:pPr>
        <w:ind w:left="2880" w:hanging="360"/>
      </w:pPr>
      <w:rPr>
        <w:rFonts w:ascii="Symbol" w:hAnsi="Symbol" w:hint="default"/>
      </w:rPr>
    </w:lvl>
    <w:lvl w:ilvl="4" w:tplc="90D6F07A">
      <w:start w:val="1"/>
      <w:numFmt w:val="bullet"/>
      <w:lvlText w:val="o"/>
      <w:lvlJc w:val="left"/>
      <w:pPr>
        <w:ind w:left="3600" w:hanging="360"/>
      </w:pPr>
      <w:rPr>
        <w:rFonts w:ascii="Courier New" w:hAnsi="Courier New" w:hint="default"/>
      </w:rPr>
    </w:lvl>
    <w:lvl w:ilvl="5" w:tplc="FA94A79E">
      <w:start w:val="1"/>
      <w:numFmt w:val="bullet"/>
      <w:lvlText w:val=""/>
      <w:lvlJc w:val="left"/>
      <w:pPr>
        <w:ind w:left="4320" w:hanging="360"/>
      </w:pPr>
      <w:rPr>
        <w:rFonts w:ascii="Wingdings" w:hAnsi="Wingdings" w:hint="default"/>
      </w:rPr>
    </w:lvl>
    <w:lvl w:ilvl="6" w:tplc="C27234F6">
      <w:start w:val="1"/>
      <w:numFmt w:val="bullet"/>
      <w:lvlText w:val=""/>
      <w:lvlJc w:val="left"/>
      <w:pPr>
        <w:ind w:left="5040" w:hanging="360"/>
      </w:pPr>
      <w:rPr>
        <w:rFonts w:ascii="Symbol" w:hAnsi="Symbol" w:hint="default"/>
      </w:rPr>
    </w:lvl>
    <w:lvl w:ilvl="7" w:tplc="41561676">
      <w:start w:val="1"/>
      <w:numFmt w:val="bullet"/>
      <w:lvlText w:val="o"/>
      <w:lvlJc w:val="left"/>
      <w:pPr>
        <w:ind w:left="5760" w:hanging="360"/>
      </w:pPr>
      <w:rPr>
        <w:rFonts w:ascii="Courier New" w:hAnsi="Courier New" w:hint="default"/>
      </w:rPr>
    </w:lvl>
    <w:lvl w:ilvl="8" w:tplc="29283F1C">
      <w:start w:val="1"/>
      <w:numFmt w:val="bullet"/>
      <w:lvlText w:val=""/>
      <w:lvlJc w:val="left"/>
      <w:pPr>
        <w:ind w:left="6480" w:hanging="360"/>
      </w:pPr>
      <w:rPr>
        <w:rFonts w:ascii="Wingdings" w:hAnsi="Wingdings" w:hint="default"/>
      </w:rPr>
    </w:lvl>
  </w:abstractNum>
  <w:abstractNum w:abstractNumId="40" w15:restartNumberingAfterBreak="0">
    <w:nsid w:val="6AA75132"/>
    <w:multiLevelType w:val="hybridMultilevel"/>
    <w:tmpl w:val="ACD6FB5E"/>
    <w:lvl w:ilvl="0" w:tplc="124A159E">
      <w:start w:val="1"/>
      <w:numFmt w:val="bullet"/>
      <w:pStyle w:val="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3" w15:restartNumberingAfterBreak="0">
    <w:nsid w:val="735E2D71"/>
    <w:multiLevelType w:val="hybridMultilevel"/>
    <w:tmpl w:val="EB443F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692C6E"/>
    <w:multiLevelType w:val="hybridMultilevel"/>
    <w:tmpl w:val="5F9EA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39021E"/>
    <w:multiLevelType w:val="multilevel"/>
    <w:tmpl w:val="E0E09B5E"/>
    <w:name w:val="DEPIListNumbering"/>
    <w:styleLink w:val="DELWPHeadings2"/>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6" w15:restartNumberingAfterBreak="0">
    <w:nsid w:val="7BD74888"/>
    <w:multiLevelType w:val="hybridMultilevel"/>
    <w:tmpl w:val="A4B2E8F2"/>
    <w:lvl w:ilvl="0" w:tplc="8B884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7F645A"/>
    <w:multiLevelType w:val="hybridMultilevel"/>
    <w:tmpl w:val="17FC70BA"/>
    <w:lvl w:ilvl="0" w:tplc="304A1250">
      <w:start w:val="1"/>
      <w:numFmt w:val="bullet"/>
      <w:lvlText w:val=""/>
      <w:lvlJc w:val="left"/>
      <w:pPr>
        <w:ind w:left="720" w:hanging="360"/>
      </w:pPr>
      <w:rPr>
        <w:rFonts w:ascii="Symbol" w:hAnsi="Symbol" w:hint="default"/>
      </w:rPr>
    </w:lvl>
    <w:lvl w:ilvl="1" w:tplc="D30ADD38">
      <w:start w:val="1"/>
      <w:numFmt w:val="bullet"/>
      <w:lvlText w:val="o"/>
      <w:lvlJc w:val="left"/>
      <w:pPr>
        <w:ind w:left="1440" w:hanging="360"/>
      </w:pPr>
      <w:rPr>
        <w:rFonts w:ascii="Courier New" w:hAnsi="Courier New" w:hint="default"/>
      </w:rPr>
    </w:lvl>
    <w:lvl w:ilvl="2" w:tplc="2B387ED0">
      <w:start w:val="1"/>
      <w:numFmt w:val="bullet"/>
      <w:lvlText w:val=""/>
      <w:lvlJc w:val="left"/>
      <w:pPr>
        <w:ind w:left="2160" w:hanging="360"/>
      </w:pPr>
      <w:rPr>
        <w:rFonts w:ascii="Wingdings" w:hAnsi="Wingdings" w:hint="default"/>
      </w:rPr>
    </w:lvl>
    <w:lvl w:ilvl="3" w:tplc="7ACC5DBE">
      <w:start w:val="1"/>
      <w:numFmt w:val="bullet"/>
      <w:lvlText w:val=""/>
      <w:lvlJc w:val="left"/>
      <w:pPr>
        <w:ind w:left="2880" w:hanging="360"/>
      </w:pPr>
      <w:rPr>
        <w:rFonts w:ascii="Symbol" w:hAnsi="Symbol" w:hint="default"/>
      </w:rPr>
    </w:lvl>
    <w:lvl w:ilvl="4" w:tplc="AA2E283E">
      <w:start w:val="1"/>
      <w:numFmt w:val="bullet"/>
      <w:lvlText w:val="o"/>
      <w:lvlJc w:val="left"/>
      <w:pPr>
        <w:ind w:left="3600" w:hanging="360"/>
      </w:pPr>
      <w:rPr>
        <w:rFonts w:ascii="Courier New" w:hAnsi="Courier New" w:hint="default"/>
      </w:rPr>
    </w:lvl>
    <w:lvl w:ilvl="5" w:tplc="5C2A39FA">
      <w:start w:val="1"/>
      <w:numFmt w:val="bullet"/>
      <w:lvlText w:val=""/>
      <w:lvlJc w:val="left"/>
      <w:pPr>
        <w:ind w:left="4320" w:hanging="360"/>
      </w:pPr>
      <w:rPr>
        <w:rFonts w:ascii="Wingdings" w:hAnsi="Wingdings" w:hint="default"/>
      </w:rPr>
    </w:lvl>
    <w:lvl w:ilvl="6" w:tplc="BDB2E8C2">
      <w:start w:val="1"/>
      <w:numFmt w:val="bullet"/>
      <w:lvlText w:val=""/>
      <w:lvlJc w:val="left"/>
      <w:pPr>
        <w:ind w:left="5040" w:hanging="360"/>
      </w:pPr>
      <w:rPr>
        <w:rFonts w:ascii="Symbol" w:hAnsi="Symbol" w:hint="default"/>
      </w:rPr>
    </w:lvl>
    <w:lvl w:ilvl="7" w:tplc="FA5A1B3E">
      <w:start w:val="1"/>
      <w:numFmt w:val="bullet"/>
      <w:lvlText w:val="o"/>
      <w:lvlJc w:val="left"/>
      <w:pPr>
        <w:ind w:left="5760" w:hanging="360"/>
      </w:pPr>
      <w:rPr>
        <w:rFonts w:ascii="Courier New" w:hAnsi="Courier New" w:hint="default"/>
      </w:rPr>
    </w:lvl>
    <w:lvl w:ilvl="8" w:tplc="910E2E02">
      <w:start w:val="1"/>
      <w:numFmt w:val="bullet"/>
      <w:lvlText w:val=""/>
      <w:lvlJc w:val="left"/>
      <w:pPr>
        <w:ind w:left="6480" w:hanging="360"/>
      </w:pPr>
      <w:rPr>
        <w:rFonts w:ascii="Wingdings" w:hAnsi="Wingdings" w:hint="default"/>
      </w:rPr>
    </w:lvl>
  </w:abstractNum>
  <w:abstractNum w:abstractNumId="48" w15:restartNumberingAfterBreak="0">
    <w:nsid w:val="7F2F7D6E"/>
    <w:multiLevelType w:val="hybridMultilevel"/>
    <w:tmpl w:val="D6285934"/>
    <w:lvl w:ilvl="0" w:tplc="48D0BD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24"/>
  </w:num>
  <w:num w:numId="4">
    <w:abstractNumId w:val="39"/>
  </w:num>
  <w:num w:numId="5">
    <w:abstractNumId w:val="21"/>
  </w:num>
  <w:num w:numId="6">
    <w:abstractNumId w:val="41"/>
  </w:num>
  <w:num w:numId="7">
    <w:abstractNumId w:val="34"/>
  </w:num>
  <w:num w:numId="8">
    <w:abstractNumId w:val="45"/>
  </w:num>
  <w:num w:numId="9">
    <w:abstractNumId w:val="14"/>
  </w:num>
  <w:num w:numId="10">
    <w:abstractNumId w:val="7"/>
  </w:num>
  <w:num w:numId="11">
    <w:abstractNumId w:val="1"/>
  </w:num>
  <w:num w:numId="12">
    <w:abstractNumId w:val="42"/>
  </w:num>
  <w:num w:numId="13">
    <w:abstractNumId w:val="10"/>
  </w:num>
  <w:num w:numId="14">
    <w:abstractNumId w:val="17"/>
  </w:num>
  <w:num w:numId="15">
    <w:abstractNumId w:val="12"/>
  </w:num>
  <w:num w:numId="16">
    <w:abstractNumId w:val="23"/>
  </w:num>
  <w:num w:numId="17">
    <w:abstractNumId w:val="27"/>
  </w:num>
  <w:num w:numId="18">
    <w:abstractNumId w:val="36"/>
  </w:num>
  <w:num w:numId="19">
    <w:abstractNumId w:val="44"/>
  </w:num>
  <w:num w:numId="20">
    <w:abstractNumId w:val="15"/>
  </w:num>
  <w:num w:numId="21">
    <w:abstractNumId w:val="16"/>
  </w:num>
  <w:num w:numId="22">
    <w:abstractNumId w:val="6"/>
  </w:num>
  <w:num w:numId="23">
    <w:abstractNumId w:val="33"/>
  </w:num>
  <w:num w:numId="24">
    <w:abstractNumId w:val="13"/>
  </w:num>
  <w:num w:numId="25">
    <w:abstractNumId w:val="9"/>
  </w:num>
  <w:num w:numId="26">
    <w:abstractNumId w:val="20"/>
  </w:num>
  <w:num w:numId="27">
    <w:abstractNumId w:val="11"/>
  </w:num>
  <w:num w:numId="28">
    <w:abstractNumId w:val="25"/>
  </w:num>
  <w:num w:numId="29">
    <w:abstractNumId w:val="40"/>
  </w:num>
  <w:num w:numId="30">
    <w:abstractNumId w:val="35"/>
  </w:num>
  <w:num w:numId="31">
    <w:abstractNumId w:val="48"/>
  </w:num>
  <w:num w:numId="32">
    <w:abstractNumId w:val="1"/>
  </w:num>
  <w:num w:numId="33">
    <w:abstractNumId w:val="15"/>
  </w:num>
  <w:num w:numId="34">
    <w:abstractNumId w:val="26"/>
  </w:num>
  <w:num w:numId="35">
    <w:abstractNumId w:val="31"/>
  </w:num>
  <w:num w:numId="36">
    <w:abstractNumId w:val="43"/>
  </w:num>
  <w:num w:numId="37">
    <w:abstractNumId w:val="46"/>
  </w:num>
  <w:num w:numId="38">
    <w:abstractNumId w:val="8"/>
  </w:num>
  <w:num w:numId="39">
    <w:abstractNumId w:val="4"/>
  </w:num>
  <w:num w:numId="40">
    <w:abstractNumId w:val="0"/>
  </w:num>
  <w:num w:numId="41">
    <w:abstractNumId w:val="3"/>
  </w:num>
  <w:num w:numId="42">
    <w:abstractNumId w:val="28"/>
  </w:num>
  <w:num w:numId="43">
    <w:abstractNumId w:val="38"/>
  </w:num>
  <w:num w:numId="44">
    <w:abstractNumId w:val="32"/>
  </w:num>
  <w:num w:numId="45">
    <w:abstractNumId w:val="22"/>
  </w:num>
  <w:num w:numId="46">
    <w:abstractNumId w:val="2"/>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ntentiousSubject" w:val="False"/>
    <w:docVar w:name="CoverCoBranded" w:val="False"/>
    <w:docVar w:name="CoverLayout" w:val="Multi"/>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Energy"/>
    <w:docVar w:name="TOC" w:val="True"/>
    <w:docVar w:name="TOCNew" w:val="True"/>
    <w:docVar w:name="Version" w:val="3"/>
  </w:docVars>
  <w:rsids>
    <w:rsidRoot w:val="00421E6F"/>
    <w:rsid w:val="0000017F"/>
    <w:rsid w:val="00000279"/>
    <w:rsid w:val="000004BD"/>
    <w:rsid w:val="00000B7A"/>
    <w:rsid w:val="00000C89"/>
    <w:rsid w:val="00000FEB"/>
    <w:rsid w:val="000012BE"/>
    <w:rsid w:val="000015ED"/>
    <w:rsid w:val="00001F76"/>
    <w:rsid w:val="000024EB"/>
    <w:rsid w:val="0000279C"/>
    <w:rsid w:val="000028B4"/>
    <w:rsid w:val="00002DE1"/>
    <w:rsid w:val="000037B6"/>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6F5"/>
    <w:rsid w:val="00012710"/>
    <w:rsid w:val="00012B94"/>
    <w:rsid w:val="00012E66"/>
    <w:rsid w:val="00012EC2"/>
    <w:rsid w:val="00013360"/>
    <w:rsid w:val="0001362A"/>
    <w:rsid w:val="0001389C"/>
    <w:rsid w:val="0001393A"/>
    <w:rsid w:val="00013BAE"/>
    <w:rsid w:val="00013DC6"/>
    <w:rsid w:val="0001466C"/>
    <w:rsid w:val="00014C23"/>
    <w:rsid w:val="00014E03"/>
    <w:rsid w:val="00014E15"/>
    <w:rsid w:val="00015BB6"/>
    <w:rsid w:val="00016478"/>
    <w:rsid w:val="00016C60"/>
    <w:rsid w:val="000171F8"/>
    <w:rsid w:val="000171FD"/>
    <w:rsid w:val="00017669"/>
    <w:rsid w:val="00017D91"/>
    <w:rsid w:val="000202A9"/>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BE8"/>
    <w:rsid w:val="00032D71"/>
    <w:rsid w:val="00033137"/>
    <w:rsid w:val="00033178"/>
    <w:rsid w:val="00033331"/>
    <w:rsid w:val="00033A8A"/>
    <w:rsid w:val="00033DDF"/>
    <w:rsid w:val="0003418D"/>
    <w:rsid w:val="0003451C"/>
    <w:rsid w:val="00034E46"/>
    <w:rsid w:val="00035139"/>
    <w:rsid w:val="00035163"/>
    <w:rsid w:val="00035168"/>
    <w:rsid w:val="000351EF"/>
    <w:rsid w:val="00035B4E"/>
    <w:rsid w:val="00035BAD"/>
    <w:rsid w:val="00035F6B"/>
    <w:rsid w:val="00035F72"/>
    <w:rsid w:val="00035FD9"/>
    <w:rsid w:val="000362D6"/>
    <w:rsid w:val="00036908"/>
    <w:rsid w:val="00036A70"/>
    <w:rsid w:val="00036FBD"/>
    <w:rsid w:val="00037072"/>
    <w:rsid w:val="0003781A"/>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91E"/>
    <w:rsid w:val="00043971"/>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3DA"/>
    <w:rsid w:val="00061573"/>
    <w:rsid w:val="000617D7"/>
    <w:rsid w:val="000620DA"/>
    <w:rsid w:val="000626EE"/>
    <w:rsid w:val="00062985"/>
    <w:rsid w:val="00063623"/>
    <w:rsid w:val="00063E71"/>
    <w:rsid w:val="00063FB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633"/>
    <w:rsid w:val="00071B67"/>
    <w:rsid w:val="00071CA4"/>
    <w:rsid w:val="00071DE2"/>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5CEB"/>
    <w:rsid w:val="000767F1"/>
    <w:rsid w:val="00076B41"/>
    <w:rsid w:val="00077827"/>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E9E"/>
    <w:rsid w:val="000908D6"/>
    <w:rsid w:val="0009125C"/>
    <w:rsid w:val="000913AD"/>
    <w:rsid w:val="00091F49"/>
    <w:rsid w:val="0009214D"/>
    <w:rsid w:val="00092FDD"/>
    <w:rsid w:val="00093051"/>
    <w:rsid w:val="000935F8"/>
    <w:rsid w:val="000938C5"/>
    <w:rsid w:val="00093AF6"/>
    <w:rsid w:val="00093F02"/>
    <w:rsid w:val="0009409C"/>
    <w:rsid w:val="000948CF"/>
    <w:rsid w:val="00094A84"/>
    <w:rsid w:val="00094F27"/>
    <w:rsid w:val="0009521E"/>
    <w:rsid w:val="0009542A"/>
    <w:rsid w:val="000957FE"/>
    <w:rsid w:val="00095E8A"/>
    <w:rsid w:val="00096627"/>
    <w:rsid w:val="00096B2D"/>
    <w:rsid w:val="00096B35"/>
    <w:rsid w:val="00097170"/>
    <w:rsid w:val="00097375"/>
    <w:rsid w:val="00097538"/>
    <w:rsid w:val="00097763"/>
    <w:rsid w:val="000979B3"/>
    <w:rsid w:val="00097A86"/>
    <w:rsid w:val="00097BCF"/>
    <w:rsid w:val="00097C1B"/>
    <w:rsid w:val="000A0179"/>
    <w:rsid w:val="000A04B4"/>
    <w:rsid w:val="000A055B"/>
    <w:rsid w:val="000A059B"/>
    <w:rsid w:val="000A05D6"/>
    <w:rsid w:val="000A06AC"/>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41A"/>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3C6"/>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852"/>
    <w:rsid w:val="000C3B79"/>
    <w:rsid w:val="000C3C38"/>
    <w:rsid w:val="000C41E0"/>
    <w:rsid w:val="000C41F9"/>
    <w:rsid w:val="000C4231"/>
    <w:rsid w:val="000C436A"/>
    <w:rsid w:val="000C4E6D"/>
    <w:rsid w:val="000C55BE"/>
    <w:rsid w:val="000C57F2"/>
    <w:rsid w:val="000C6231"/>
    <w:rsid w:val="000C6D43"/>
    <w:rsid w:val="000C707C"/>
    <w:rsid w:val="000C7611"/>
    <w:rsid w:val="000D050A"/>
    <w:rsid w:val="000D0526"/>
    <w:rsid w:val="000D06EA"/>
    <w:rsid w:val="000D0AE7"/>
    <w:rsid w:val="000D0CA4"/>
    <w:rsid w:val="000D1A7B"/>
    <w:rsid w:val="000D1E7B"/>
    <w:rsid w:val="000D2340"/>
    <w:rsid w:val="000D2526"/>
    <w:rsid w:val="000D25B6"/>
    <w:rsid w:val="000D2813"/>
    <w:rsid w:val="000D287C"/>
    <w:rsid w:val="000D2EA1"/>
    <w:rsid w:val="000D3159"/>
    <w:rsid w:val="000D3282"/>
    <w:rsid w:val="000D3344"/>
    <w:rsid w:val="000D3AE8"/>
    <w:rsid w:val="000D3B59"/>
    <w:rsid w:val="000D3D33"/>
    <w:rsid w:val="000D3E39"/>
    <w:rsid w:val="000D3F7B"/>
    <w:rsid w:val="000D42D6"/>
    <w:rsid w:val="000D464F"/>
    <w:rsid w:val="000D465D"/>
    <w:rsid w:val="000D4EC1"/>
    <w:rsid w:val="000D6DC7"/>
    <w:rsid w:val="000D703A"/>
    <w:rsid w:val="000D7202"/>
    <w:rsid w:val="000D7482"/>
    <w:rsid w:val="000D76D9"/>
    <w:rsid w:val="000D7891"/>
    <w:rsid w:val="000D7E1F"/>
    <w:rsid w:val="000E0084"/>
    <w:rsid w:val="000E01C1"/>
    <w:rsid w:val="000E01D0"/>
    <w:rsid w:val="000E0F78"/>
    <w:rsid w:val="000E1779"/>
    <w:rsid w:val="000E1BEC"/>
    <w:rsid w:val="000E1D51"/>
    <w:rsid w:val="000E1F1D"/>
    <w:rsid w:val="000E1FC7"/>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0F"/>
    <w:rsid w:val="000F4CD5"/>
    <w:rsid w:val="000F5080"/>
    <w:rsid w:val="000F5216"/>
    <w:rsid w:val="000F532B"/>
    <w:rsid w:val="000F567F"/>
    <w:rsid w:val="000F5A78"/>
    <w:rsid w:val="000F5E34"/>
    <w:rsid w:val="000F5E5F"/>
    <w:rsid w:val="000F5E8C"/>
    <w:rsid w:val="000F6801"/>
    <w:rsid w:val="000F6803"/>
    <w:rsid w:val="000F6D60"/>
    <w:rsid w:val="000F6D6B"/>
    <w:rsid w:val="000F70D4"/>
    <w:rsid w:val="000F7657"/>
    <w:rsid w:val="000F7A4B"/>
    <w:rsid w:val="000F7DCF"/>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BBF"/>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3E4"/>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300"/>
    <w:rsid w:val="001172B9"/>
    <w:rsid w:val="001177A2"/>
    <w:rsid w:val="00117819"/>
    <w:rsid w:val="001179D3"/>
    <w:rsid w:val="00117CFE"/>
    <w:rsid w:val="00117DD6"/>
    <w:rsid w:val="00117F77"/>
    <w:rsid w:val="00117FA6"/>
    <w:rsid w:val="001202B1"/>
    <w:rsid w:val="001203C0"/>
    <w:rsid w:val="001204D7"/>
    <w:rsid w:val="0012093F"/>
    <w:rsid w:val="00120BFA"/>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A62"/>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9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5B4"/>
    <w:rsid w:val="00152DA7"/>
    <w:rsid w:val="00152F06"/>
    <w:rsid w:val="00153334"/>
    <w:rsid w:val="0015375B"/>
    <w:rsid w:val="0015388E"/>
    <w:rsid w:val="00153FD1"/>
    <w:rsid w:val="00153FDB"/>
    <w:rsid w:val="00154050"/>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CBB"/>
    <w:rsid w:val="00172DA4"/>
    <w:rsid w:val="00173F6E"/>
    <w:rsid w:val="001748A0"/>
    <w:rsid w:val="00174BD6"/>
    <w:rsid w:val="001756B6"/>
    <w:rsid w:val="0017570D"/>
    <w:rsid w:val="00175826"/>
    <w:rsid w:val="0017593D"/>
    <w:rsid w:val="00175B81"/>
    <w:rsid w:val="00175C26"/>
    <w:rsid w:val="00175E2D"/>
    <w:rsid w:val="00176238"/>
    <w:rsid w:val="00176368"/>
    <w:rsid w:val="00176A24"/>
    <w:rsid w:val="00176DBD"/>
    <w:rsid w:val="00176DF9"/>
    <w:rsid w:val="0017720A"/>
    <w:rsid w:val="00177366"/>
    <w:rsid w:val="00177415"/>
    <w:rsid w:val="00177579"/>
    <w:rsid w:val="001776DD"/>
    <w:rsid w:val="00177AC3"/>
    <w:rsid w:val="00177B82"/>
    <w:rsid w:val="00180234"/>
    <w:rsid w:val="001811ED"/>
    <w:rsid w:val="0018138B"/>
    <w:rsid w:val="0018157F"/>
    <w:rsid w:val="00182759"/>
    <w:rsid w:val="00182969"/>
    <w:rsid w:val="0018296A"/>
    <w:rsid w:val="00182986"/>
    <w:rsid w:val="00183265"/>
    <w:rsid w:val="00183605"/>
    <w:rsid w:val="00183B52"/>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86"/>
    <w:rsid w:val="001924D8"/>
    <w:rsid w:val="00192793"/>
    <w:rsid w:val="001929A8"/>
    <w:rsid w:val="001932CF"/>
    <w:rsid w:val="0019341D"/>
    <w:rsid w:val="00193BEE"/>
    <w:rsid w:val="001942B8"/>
    <w:rsid w:val="00194471"/>
    <w:rsid w:val="00194C55"/>
    <w:rsid w:val="00194CF5"/>
    <w:rsid w:val="0019502C"/>
    <w:rsid w:val="001952E8"/>
    <w:rsid w:val="00195EAE"/>
    <w:rsid w:val="00196016"/>
    <w:rsid w:val="00196165"/>
    <w:rsid w:val="00196393"/>
    <w:rsid w:val="00196667"/>
    <w:rsid w:val="001966C9"/>
    <w:rsid w:val="00196B14"/>
    <w:rsid w:val="00197033"/>
    <w:rsid w:val="0019725F"/>
    <w:rsid w:val="00197717"/>
    <w:rsid w:val="001977C0"/>
    <w:rsid w:val="00197F7F"/>
    <w:rsid w:val="001A016B"/>
    <w:rsid w:val="001A0827"/>
    <w:rsid w:val="001A0CBB"/>
    <w:rsid w:val="001A0EF8"/>
    <w:rsid w:val="001A13E9"/>
    <w:rsid w:val="001A150E"/>
    <w:rsid w:val="001A18D2"/>
    <w:rsid w:val="001A245B"/>
    <w:rsid w:val="001A25AC"/>
    <w:rsid w:val="001A37A6"/>
    <w:rsid w:val="001A3CD5"/>
    <w:rsid w:val="001A4197"/>
    <w:rsid w:val="001A45A0"/>
    <w:rsid w:val="001A4BB8"/>
    <w:rsid w:val="001A50A5"/>
    <w:rsid w:val="001A548E"/>
    <w:rsid w:val="001A5625"/>
    <w:rsid w:val="001A5C24"/>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408"/>
    <w:rsid w:val="001B36B4"/>
    <w:rsid w:val="001B38B7"/>
    <w:rsid w:val="001B39AE"/>
    <w:rsid w:val="001B3C1A"/>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1B1"/>
    <w:rsid w:val="001C7685"/>
    <w:rsid w:val="001C7813"/>
    <w:rsid w:val="001D1792"/>
    <w:rsid w:val="001D2509"/>
    <w:rsid w:val="001D25DB"/>
    <w:rsid w:val="001D2DA8"/>
    <w:rsid w:val="001D2E9C"/>
    <w:rsid w:val="001D3116"/>
    <w:rsid w:val="001D347F"/>
    <w:rsid w:val="001D3B9E"/>
    <w:rsid w:val="001D3BFD"/>
    <w:rsid w:val="001D3E83"/>
    <w:rsid w:val="001D3F6F"/>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0AD"/>
    <w:rsid w:val="001E0190"/>
    <w:rsid w:val="001E0514"/>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5B85"/>
    <w:rsid w:val="001E6920"/>
    <w:rsid w:val="001E693A"/>
    <w:rsid w:val="001E6EC8"/>
    <w:rsid w:val="001E7905"/>
    <w:rsid w:val="001F0190"/>
    <w:rsid w:val="001F0858"/>
    <w:rsid w:val="001F0883"/>
    <w:rsid w:val="001F08A4"/>
    <w:rsid w:val="001F0A0A"/>
    <w:rsid w:val="001F0A1D"/>
    <w:rsid w:val="001F0B61"/>
    <w:rsid w:val="001F0DCF"/>
    <w:rsid w:val="001F11E2"/>
    <w:rsid w:val="001F141F"/>
    <w:rsid w:val="001F14F2"/>
    <w:rsid w:val="001F1BAB"/>
    <w:rsid w:val="001F1EEE"/>
    <w:rsid w:val="001F203C"/>
    <w:rsid w:val="001F2108"/>
    <w:rsid w:val="001F29BC"/>
    <w:rsid w:val="001F2A4D"/>
    <w:rsid w:val="001F2BD3"/>
    <w:rsid w:val="001F2EA1"/>
    <w:rsid w:val="001F337E"/>
    <w:rsid w:val="001F353A"/>
    <w:rsid w:val="001F3603"/>
    <w:rsid w:val="001F386B"/>
    <w:rsid w:val="001F3D89"/>
    <w:rsid w:val="001F4052"/>
    <w:rsid w:val="001F4435"/>
    <w:rsid w:val="001F4FA9"/>
    <w:rsid w:val="001F548A"/>
    <w:rsid w:val="001F552F"/>
    <w:rsid w:val="001F565A"/>
    <w:rsid w:val="001F579C"/>
    <w:rsid w:val="001F58E7"/>
    <w:rsid w:val="001F5C40"/>
    <w:rsid w:val="001F5D92"/>
    <w:rsid w:val="001F5F13"/>
    <w:rsid w:val="001F668A"/>
    <w:rsid w:val="001F6AB6"/>
    <w:rsid w:val="001F6D64"/>
    <w:rsid w:val="001F765B"/>
    <w:rsid w:val="001F770A"/>
    <w:rsid w:val="001F7EFB"/>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9FA"/>
    <w:rsid w:val="00210D74"/>
    <w:rsid w:val="00211046"/>
    <w:rsid w:val="002112B2"/>
    <w:rsid w:val="00211AE6"/>
    <w:rsid w:val="00211FE8"/>
    <w:rsid w:val="00212CB6"/>
    <w:rsid w:val="00212DA6"/>
    <w:rsid w:val="00213289"/>
    <w:rsid w:val="0021343A"/>
    <w:rsid w:val="002139D9"/>
    <w:rsid w:val="00213B45"/>
    <w:rsid w:val="002147CA"/>
    <w:rsid w:val="002150E0"/>
    <w:rsid w:val="002154DF"/>
    <w:rsid w:val="002158A2"/>
    <w:rsid w:val="00215AEB"/>
    <w:rsid w:val="00215CE4"/>
    <w:rsid w:val="00215E20"/>
    <w:rsid w:val="0021610D"/>
    <w:rsid w:val="002165C1"/>
    <w:rsid w:val="00216A8E"/>
    <w:rsid w:val="00216BDC"/>
    <w:rsid w:val="00217538"/>
    <w:rsid w:val="00217563"/>
    <w:rsid w:val="00217998"/>
    <w:rsid w:val="00217DA5"/>
    <w:rsid w:val="00217EC2"/>
    <w:rsid w:val="00220268"/>
    <w:rsid w:val="00220B8F"/>
    <w:rsid w:val="00220E04"/>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832"/>
    <w:rsid w:val="00225CB2"/>
    <w:rsid w:val="002262A7"/>
    <w:rsid w:val="0022721E"/>
    <w:rsid w:val="00227A0A"/>
    <w:rsid w:val="00227B32"/>
    <w:rsid w:val="0023007D"/>
    <w:rsid w:val="002302F5"/>
    <w:rsid w:val="00230478"/>
    <w:rsid w:val="002304CD"/>
    <w:rsid w:val="0023084B"/>
    <w:rsid w:val="002312FF"/>
    <w:rsid w:val="00231311"/>
    <w:rsid w:val="0023151E"/>
    <w:rsid w:val="00231979"/>
    <w:rsid w:val="0023219B"/>
    <w:rsid w:val="0023230E"/>
    <w:rsid w:val="0023282F"/>
    <w:rsid w:val="00232E2E"/>
    <w:rsid w:val="00232E42"/>
    <w:rsid w:val="00233827"/>
    <w:rsid w:val="00233C92"/>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35"/>
    <w:rsid w:val="00237BD5"/>
    <w:rsid w:val="00237D72"/>
    <w:rsid w:val="00237EDD"/>
    <w:rsid w:val="00240237"/>
    <w:rsid w:val="00240640"/>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49"/>
    <w:rsid w:val="00245790"/>
    <w:rsid w:val="00245971"/>
    <w:rsid w:val="00245CE9"/>
    <w:rsid w:val="00245E00"/>
    <w:rsid w:val="00246012"/>
    <w:rsid w:val="002467F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8C8"/>
    <w:rsid w:val="00253DF7"/>
    <w:rsid w:val="002544FC"/>
    <w:rsid w:val="0025487A"/>
    <w:rsid w:val="00254AB4"/>
    <w:rsid w:val="00254CA1"/>
    <w:rsid w:val="00254D73"/>
    <w:rsid w:val="00254DE3"/>
    <w:rsid w:val="0025505F"/>
    <w:rsid w:val="002550FF"/>
    <w:rsid w:val="0025523C"/>
    <w:rsid w:val="00255D7F"/>
    <w:rsid w:val="00255DD3"/>
    <w:rsid w:val="00256057"/>
    <w:rsid w:val="002560F7"/>
    <w:rsid w:val="002568FE"/>
    <w:rsid w:val="0025733D"/>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88F"/>
    <w:rsid w:val="00262E05"/>
    <w:rsid w:val="00262E69"/>
    <w:rsid w:val="00263401"/>
    <w:rsid w:val="0026369F"/>
    <w:rsid w:val="002636AB"/>
    <w:rsid w:val="0026373B"/>
    <w:rsid w:val="00263BE7"/>
    <w:rsid w:val="00264677"/>
    <w:rsid w:val="00264A62"/>
    <w:rsid w:val="00264C7C"/>
    <w:rsid w:val="00265045"/>
    <w:rsid w:val="00265096"/>
    <w:rsid w:val="0026589E"/>
    <w:rsid w:val="002659C1"/>
    <w:rsid w:val="00265D78"/>
    <w:rsid w:val="002662BA"/>
    <w:rsid w:val="0026685D"/>
    <w:rsid w:val="00266EB3"/>
    <w:rsid w:val="00267693"/>
    <w:rsid w:val="00267CB6"/>
    <w:rsid w:val="00267EF8"/>
    <w:rsid w:val="00270AC9"/>
    <w:rsid w:val="00270B60"/>
    <w:rsid w:val="00271AFF"/>
    <w:rsid w:val="00271B90"/>
    <w:rsid w:val="00271BC9"/>
    <w:rsid w:val="00272039"/>
    <w:rsid w:val="00272184"/>
    <w:rsid w:val="00272283"/>
    <w:rsid w:val="0027244F"/>
    <w:rsid w:val="0027300A"/>
    <w:rsid w:val="00273651"/>
    <w:rsid w:val="0027369B"/>
    <w:rsid w:val="0027393A"/>
    <w:rsid w:val="00273DB4"/>
    <w:rsid w:val="00273DE1"/>
    <w:rsid w:val="00273ECC"/>
    <w:rsid w:val="00273FD5"/>
    <w:rsid w:val="00273FDB"/>
    <w:rsid w:val="0027492F"/>
    <w:rsid w:val="00274F3B"/>
    <w:rsid w:val="002750E0"/>
    <w:rsid w:val="002753C1"/>
    <w:rsid w:val="00275624"/>
    <w:rsid w:val="0027562D"/>
    <w:rsid w:val="0027598E"/>
    <w:rsid w:val="00275AC3"/>
    <w:rsid w:val="00275B33"/>
    <w:rsid w:val="00275BCE"/>
    <w:rsid w:val="002760B0"/>
    <w:rsid w:val="0027632F"/>
    <w:rsid w:val="002766CD"/>
    <w:rsid w:val="0027678A"/>
    <w:rsid w:val="002770AD"/>
    <w:rsid w:val="00277171"/>
    <w:rsid w:val="002779C6"/>
    <w:rsid w:val="00277B3D"/>
    <w:rsid w:val="00277BAB"/>
    <w:rsid w:val="0028044C"/>
    <w:rsid w:val="0028048B"/>
    <w:rsid w:val="002805B8"/>
    <w:rsid w:val="0028091B"/>
    <w:rsid w:val="00280E8A"/>
    <w:rsid w:val="00280EEC"/>
    <w:rsid w:val="0028111A"/>
    <w:rsid w:val="002815BC"/>
    <w:rsid w:val="002815F0"/>
    <w:rsid w:val="0028165D"/>
    <w:rsid w:val="002817EC"/>
    <w:rsid w:val="00281F5E"/>
    <w:rsid w:val="00283592"/>
    <w:rsid w:val="0028363C"/>
    <w:rsid w:val="00283E4F"/>
    <w:rsid w:val="00283FA3"/>
    <w:rsid w:val="002845AC"/>
    <w:rsid w:val="00284B07"/>
    <w:rsid w:val="00285534"/>
    <w:rsid w:val="00285A5B"/>
    <w:rsid w:val="00285C44"/>
    <w:rsid w:val="00285E6C"/>
    <w:rsid w:val="00285F04"/>
    <w:rsid w:val="00286689"/>
    <w:rsid w:val="00286C19"/>
    <w:rsid w:val="00287075"/>
    <w:rsid w:val="00287146"/>
    <w:rsid w:val="00287369"/>
    <w:rsid w:val="00287609"/>
    <w:rsid w:val="002878A6"/>
    <w:rsid w:val="00287D08"/>
    <w:rsid w:val="00290136"/>
    <w:rsid w:val="002903D1"/>
    <w:rsid w:val="0029046B"/>
    <w:rsid w:val="002905D9"/>
    <w:rsid w:val="00290935"/>
    <w:rsid w:val="00290BDA"/>
    <w:rsid w:val="002913D6"/>
    <w:rsid w:val="002914D3"/>
    <w:rsid w:val="00291BB4"/>
    <w:rsid w:val="002925DE"/>
    <w:rsid w:val="0029289C"/>
    <w:rsid w:val="00292C66"/>
    <w:rsid w:val="0029318B"/>
    <w:rsid w:val="00293241"/>
    <w:rsid w:val="00293463"/>
    <w:rsid w:val="00293680"/>
    <w:rsid w:val="00293EDC"/>
    <w:rsid w:val="002940DF"/>
    <w:rsid w:val="002942A8"/>
    <w:rsid w:val="0029457A"/>
    <w:rsid w:val="00294BC0"/>
    <w:rsid w:val="00294C41"/>
    <w:rsid w:val="0029505A"/>
    <w:rsid w:val="002958B8"/>
    <w:rsid w:val="00295F12"/>
    <w:rsid w:val="002963F3"/>
    <w:rsid w:val="00296613"/>
    <w:rsid w:val="002972FC"/>
    <w:rsid w:val="00297462"/>
    <w:rsid w:val="00297CA9"/>
    <w:rsid w:val="00297EC6"/>
    <w:rsid w:val="002A0AED"/>
    <w:rsid w:val="002A1017"/>
    <w:rsid w:val="002A13AD"/>
    <w:rsid w:val="002A2754"/>
    <w:rsid w:val="002A289B"/>
    <w:rsid w:val="002A307B"/>
    <w:rsid w:val="002A314B"/>
    <w:rsid w:val="002A36DE"/>
    <w:rsid w:val="002A38F1"/>
    <w:rsid w:val="002A38F9"/>
    <w:rsid w:val="002A3D58"/>
    <w:rsid w:val="002A3DA4"/>
    <w:rsid w:val="002A3FAF"/>
    <w:rsid w:val="002A4235"/>
    <w:rsid w:val="002A4489"/>
    <w:rsid w:val="002A4B40"/>
    <w:rsid w:val="002A4CF9"/>
    <w:rsid w:val="002A4DF9"/>
    <w:rsid w:val="002A5358"/>
    <w:rsid w:val="002A56EC"/>
    <w:rsid w:val="002A5D8B"/>
    <w:rsid w:val="002A67CE"/>
    <w:rsid w:val="002A6829"/>
    <w:rsid w:val="002A6C11"/>
    <w:rsid w:val="002A6C41"/>
    <w:rsid w:val="002A6CDD"/>
    <w:rsid w:val="002A6FC7"/>
    <w:rsid w:val="002A7217"/>
    <w:rsid w:val="002A783B"/>
    <w:rsid w:val="002A7849"/>
    <w:rsid w:val="002A7AC5"/>
    <w:rsid w:val="002A7DF3"/>
    <w:rsid w:val="002B00B5"/>
    <w:rsid w:val="002B05DC"/>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492"/>
    <w:rsid w:val="002B3565"/>
    <w:rsid w:val="002B35C2"/>
    <w:rsid w:val="002B3886"/>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29"/>
    <w:rsid w:val="002C4605"/>
    <w:rsid w:val="002C4FEB"/>
    <w:rsid w:val="002C5235"/>
    <w:rsid w:val="002C536C"/>
    <w:rsid w:val="002C555C"/>
    <w:rsid w:val="002C5995"/>
    <w:rsid w:val="002C5DB1"/>
    <w:rsid w:val="002C5F6C"/>
    <w:rsid w:val="002C6693"/>
    <w:rsid w:val="002C6B19"/>
    <w:rsid w:val="002C729B"/>
    <w:rsid w:val="002C736D"/>
    <w:rsid w:val="002C73EA"/>
    <w:rsid w:val="002C7FEF"/>
    <w:rsid w:val="002D04B2"/>
    <w:rsid w:val="002D06AC"/>
    <w:rsid w:val="002D0A8B"/>
    <w:rsid w:val="002D1038"/>
    <w:rsid w:val="002D10F3"/>
    <w:rsid w:val="002D1562"/>
    <w:rsid w:val="002D1D09"/>
    <w:rsid w:val="002D1E0C"/>
    <w:rsid w:val="002D1EEC"/>
    <w:rsid w:val="002D1F56"/>
    <w:rsid w:val="002D212B"/>
    <w:rsid w:val="002D21D2"/>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2CD"/>
    <w:rsid w:val="002E0666"/>
    <w:rsid w:val="002E0CE5"/>
    <w:rsid w:val="002E10A9"/>
    <w:rsid w:val="002E10D7"/>
    <w:rsid w:val="002E18B5"/>
    <w:rsid w:val="002E18FF"/>
    <w:rsid w:val="002E2335"/>
    <w:rsid w:val="002E23C3"/>
    <w:rsid w:val="002E2FCE"/>
    <w:rsid w:val="002E3262"/>
    <w:rsid w:val="002E3600"/>
    <w:rsid w:val="002E37F7"/>
    <w:rsid w:val="002E3891"/>
    <w:rsid w:val="002E3909"/>
    <w:rsid w:val="002E3E90"/>
    <w:rsid w:val="002E3F9E"/>
    <w:rsid w:val="002E429F"/>
    <w:rsid w:val="002E479B"/>
    <w:rsid w:val="002E4943"/>
    <w:rsid w:val="002E49CB"/>
    <w:rsid w:val="002E4E56"/>
    <w:rsid w:val="002E52CC"/>
    <w:rsid w:val="002E54FE"/>
    <w:rsid w:val="002E5808"/>
    <w:rsid w:val="002E584F"/>
    <w:rsid w:val="002E58C5"/>
    <w:rsid w:val="002E5B9E"/>
    <w:rsid w:val="002E6B7A"/>
    <w:rsid w:val="002E6DC0"/>
    <w:rsid w:val="002E7001"/>
    <w:rsid w:val="002E7991"/>
    <w:rsid w:val="002E7A32"/>
    <w:rsid w:val="002E7EE9"/>
    <w:rsid w:val="002F0A6E"/>
    <w:rsid w:val="002F0BF5"/>
    <w:rsid w:val="002F161A"/>
    <w:rsid w:val="002F1E68"/>
    <w:rsid w:val="002F1ECC"/>
    <w:rsid w:val="002F25E9"/>
    <w:rsid w:val="002F3E23"/>
    <w:rsid w:val="002F4165"/>
    <w:rsid w:val="002F44C2"/>
    <w:rsid w:val="002F4916"/>
    <w:rsid w:val="002F4B98"/>
    <w:rsid w:val="002F4CE0"/>
    <w:rsid w:val="002F4FB6"/>
    <w:rsid w:val="002F5200"/>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8C0"/>
    <w:rsid w:val="00307DE3"/>
    <w:rsid w:val="00307DED"/>
    <w:rsid w:val="00307EE7"/>
    <w:rsid w:val="00310A6E"/>
    <w:rsid w:val="00310BB6"/>
    <w:rsid w:val="00310F51"/>
    <w:rsid w:val="003114B3"/>
    <w:rsid w:val="00311AEC"/>
    <w:rsid w:val="00311F5B"/>
    <w:rsid w:val="00312073"/>
    <w:rsid w:val="00312320"/>
    <w:rsid w:val="00312916"/>
    <w:rsid w:val="00312A2E"/>
    <w:rsid w:val="00313432"/>
    <w:rsid w:val="00313587"/>
    <w:rsid w:val="00313AA4"/>
    <w:rsid w:val="003140E6"/>
    <w:rsid w:val="00314485"/>
    <w:rsid w:val="003145C4"/>
    <w:rsid w:val="00314EA8"/>
    <w:rsid w:val="00315133"/>
    <w:rsid w:val="00315229"/>
    <w:rsid w:val="0031528F"/>
    <w:rsid w:val="0031535C"/>
    <w:rsid w:val="0031546D"/>
    <w:rsid w:val="00315585"/>
    <w:rsid w:val="00315622"/>
    <w:rsid w:val="00315855"/>
    <w:rsid w:val="00315CFC"/>
    <w:rsid w:val="00315F65"/>
    <w:rsid w:val="00316EE5"/>
    <w:rsid w:val="003177A1"/>
    <w:rsid w:val="003177C7"/>
    <w:rsid w:val="00317B03"/>
    <w:rsid w:val="00317B60"/>
    <w:rsid w:val="0032014C"/>
    <w:rsid w:val="00320D1D"/>
    <w:rsid w:val="00320E0A"/>
    <w:rsid w:val="00321131"/>
    <w:rsid w:val="00321137"/>
    <w:rsid w:val="003217EF"/>
    <w:rsid w:val="00321955"/>
    <w:rsid w:val="00321E6C"/>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7052"/>
    <w:rsid w:val="00327485"/>
    <w:rsid w:val="003274B6"/>
    <w:rsid w:val="00327512"/>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320"/>
    <w:rsid w:val="00341DE0"/>
    <w:rsid w:val="003420E0"/>
    <w:rsid w:val="00342173"/>
    <w:rsid w:val="00342444"/>
    <w:rsid w:val="003428F3"/>
    <w:rsid w:val="00342BAA"/>
    <w:rsid w:val="00342C49"/>
    <w:rsid w:val="00342D06"/>
    <w:rsid w:val="003433B9"/>
    <w:rsid w:val="00343987"/>
    <w:rsid w:val="00343B7B"/>
    <w:rsid w:val="003440FE"/>
    <w:rsid w:val="003446A9"/>
    <w:rsid w:val="00344C80"/>
    <w:rsid w:val="00344D5B"/>
    <w:rsid w:val="00344FFD"/>
    <w:rsid w:val="0034574D"/>
    <w:rsid w:val="00345B5F"/>
    <w:rsid w:val="003468F1"/>
    <w:rsid w:val="00346B3F"/>
    <w:rsid w:val="00346F16"/>
    <w:rsid w:val="00346F99"/>
    <w:rsid w:val="0034750A"/>
    <w:rsid w:val="00347605"/>
    <w:rsid w:val="00347BA8"/>
    <w:rsid w:val="00350C48"/>
    <w:rsid w:val="00350E09"/>
    <w:rsid w:val="003511D3"/>
    <w:rsid w:val="00351B24"/>
    <w:rsid w:val="00352130"/>
    <w:rsid w:val="00352289"/>
    <w:rsid w:val="00352C21"/>
    <w:rsid w:val="0035308C"/>
    <w:rsid w:val="00353573"/>
    <w:rsid w:val="00353707"/>
    <w:rsid w:val="00354841"/>
    <w:rsid w:val="00354EFD"/>
    <w:rsid w:val="003555CC"/>
    <w:rsid w:val="00355B9C"/>
    <w:rsid w:val="003561B4"/>
    <w:rsid w:val="003574ED"/>
    <w:rsid w:val="003576A7"/>
    <w:rsid w:val="003576FA"/>
    <w:rsid w:val="0036096A"/>
    <w:rsid w:val="00360B61"/>
    <w:rsid w:val="00360DC8"/>
    <w:rsid w:val="00360F3F"/>
    <w:rsid w:val="00361287"/>
    <w:rsid w:val="0036145D"/>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9E5"/>
    <w:rsid w:val="00367673"/>
    <w:rsid w:val="00370617"/>
    <w:rsid w:val="003708A3"/>
    <w:rsid w:val="00370901"/>
    <w:rsid w:val="003709D8"/>
    <w:rsid w:val="00370D02"/>
    <w:rsid w:val="003718C3"/>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239"/>
    <w:rsid w:val="0037763B"/>
    <w:rsid w:val="00377690"/>
    <w:rsid w:val="00377A51"/>
    <w:rsid w:val="00377E6C"/>
    <w:rsid w:val="00377F1B"/>
    <w:rsid w:val="00380088"/>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499"/>
    <w:rsid w:val="0039052A"/>
    <w:rsid w:val="00390F45"/>
    <w:rsid w:val="00391137"/>
    <w:rsid w:val="0039179C"/>
    <w:rsid w:val="00391E78"/>
    <w:rsid w:val="00391F27"/>
    <w:rsid w:val="003920B2"/>
    <w:rsid w:val="00392E40"/>
    <w:rsid w:val="0039303B"/>
    <w:rsid w:val="0039318E"/>
    <w:rsid w:val="00393205"/>
    <w:rsid w:val="003936CD"/>
    <w:rsid w:val="003938BA"/>
    <w:rsid w:val="0039396D"/>
    <w:rsid w:val="00393C28"/>
    <w:rsid w:val="00393EA9"/>
    <w:rsid w:val="00394109"/>
    <w:rsid w:val="003947B8"/>
    <w:rsid w:val="00395181"/>
    <w:rsid w:val="003960AD"/>
    <w:rsid w:val="003963F7"/>
    <w:rsid w:val="003964CC"/>
    <w:rsid w:val="00396652"/>
    <w:rsid w:val="0039671A"/>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26A"/>
    <w:rsid w:val="003A2A8A"/>
    <w:rsid w:val="003A2A8F"/>
    <w:rsid w:val="003A2B1C"/>
    <w:rsid w:val="003A2BFD"/>
    <w:rsid w:val="003A2D2C"/>
    <w:rsid w:val="003A34C6"/>
    <w:rsid w:val="003A37BF"/>
    <w:rsid w:val="003A3905"/>
    <w:rsid w:val="003A3AE7"/>
    <w:rsid w:val="003A3B9B"/>
    <w:rsid w:val="003A444D"/>
    <w:rsid w:val="003A4505"/>
    <w:rsid w:val="003A5365"/>
    <w:rsid w:val="003A546D"/>
    <w:rsid w:val="003A634F"/>
    <w:rsid w:val="003A64FA"/>
    <w:rsid w:val="003A6C67"/>
    <w:rsid w:val="003A6CE9"/>
    <w:rsid w:val="003A6D48"/>
    <w:rsid w:val="003A74F6"/>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40FE"/>
    <w:rsid w:val="003B430A"/>
    <w:rsid w:val="003B43FB"/>
    <w:rsid w:val="003B4465"/>
    <w:rsid w:val="003B44A9"/>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BE1"/>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47B0"/>
    <w:rsid w:val="003C5099"/>
    <w:rsid w:val="003C50AA"/>
    <w:rsid w:val="003C510E"/>
    <w:rsid w:val="003C5AF6"/>
    <w:rsid w:val="003C5C56"/>
    <w:rsid w:val="003C6095"/>
    <w:rsid w:val="003C62D6"/>
    <w:rsid w:val="003C673F"/>
    <w:rsid w:val="003C6B7E"/>
    <w:rsid w:val="003C70FF"/>
    <w:rsid w:val="003C71FE"/>
    <w:rsid w:val="003C79CE"/>
    <w:rsid w:val="003C7B87"/>
    <w:rsid w:val="003D0360"/>
    <w:rsid w:val="003D03E4"/>
    <w:rsid w:val="003D0902"/>
    <w:rsid w:val="003D0CA7"/>
    <w:rsid w:val="003D1288"/>
    <w:rsid w:val="003D12AE"/>
    <w:rsid w:val="003D142B"/>
    <w:rsid w:val="003D1E04"/>
    <w:rsid w:val="003D25C4"/>
    <w:rsid w:val="003D2C4D"/>
    <w:rsid w:val="003D3447"/>
    <w:rsid w:val="003D3468"/>
    <w:rsid w:val="003D357E"/>
    <w:rsid w:val="003D3695"/>
    <w:rsid w:val="003D3F0D"/>
    <w:rsid w:val="003D4055"/>
    <w:rsid w:val="003D4277"/>
    <w:rsid w:val="003D4483"/>
    <w:rsid w:val="003D4C15"/>
    <w:rsid w:val="003D4DC8"/>
    <w:rsid w:val="003D545B"/>
    <w:rsid w:val="003D5476"/>
    <w:rsid w:val="003D5A45"/>
    <w:rsid w:val="003D5EA3"/>
    <w:rsid w:val="003D5F52"/>
    <w:rsid w:val="003D6113"/>
    <w:rsid w:val="003D6245"/>
    <w:rsid w:val="003D6A16"/>
    <w:rsid w:val="003D6AA6"/>
    <w:rsid w:val="003D7548"/>
    <w:rsid w:val="003D75A3"/>
    <w:rsid w:val="003D7644"/>
    <w:rsid w:val="003D76D7"/>
    <w:rsid w:val="003D7ECF"/>
    <w:rsid w:val="003D7EE9"/>
    <w:rsid w:val="003E0B36"/>
    <w:rsid w:val="003E0E29"/>
    <w:rsid w:val="003E106A"/>
    <w:rsid w:val="003E13A8"/>
    <w:rsid w:val="003E1E9A"/>
    <w:rsid w:val="003E22D4"/>
    <w:rsid w:val="003E24BD"/>
    <w:rsid w:val="003E26FA"/>
    <w:rsid w:val="003E2C4B"/>
    <w:rsid w:val="003E313F"/>
    <w:rsid w:val="003E3643"/>
    <w:rsid w:val="003E39F6"/>
    <w:rsid w:val="003E3E59"/>
    <w:rsid w:val="003E4332"/>
    <w:rsid w:val="003E461D"/>
    <w:rsid w:val="003E514F"/>
    <w:rsid w:val="003E5442"/>
    <w:rsid w:val="003E580C"/>
    <w:rsid w:val="003E5AAB"/>
    <w:rsid w:val="003E6066"/>
    <w:rsid w:val="003E60CA"/>
    <w:rsid w:val="003E6458"/>
    <w:rsid w:val="003E690B"/>
    <w:rsid w:val="003E6917"/>
    <w:rsid w:val="003E6A4C"/>
    <w:rsid w:val="003E6CA0"/>
    <w:rsid w:val="003E724B"/>
    <w:rsid w:val="003E7618"/>
    <w:rsid w:val="003E7784"/>
    <w:rsid w:val="003E7F3D"/>
    <w:rsid w:val="003F000C"/>
    <w:rsid w:val="003F0651"/>
    <w:rsid w:val="003F0989"/>
    <w:rsid w:val="003F0C86"/>
    <w:rsid w:val="003F1131"/>
    <w:rsid w:val="003F13AC"/>
    <w:rsid w:val="003F1523"/>
    <w:rsid w:val="003F168A"/>
    <w:rsid w:val="003F183B"/>
    <w:rsid w:val="003F1886"/>
    <w:rsid w:val="003F19DB"/>
    <w:rsid w:val="003F1A89"/>
    <w:rsid w:val="003F2872"/>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791"/>
    <w:rsid w:val="003F7913"/>
    <w:rsid w:val="003F7B68"/>
    <w:rsid w:val="003F7E66"/>
    <w:rsid w:val="004002A8"/>
    <w:rsid w:val="00400760"/>
    <w:rsid w:val="004008E7"/>
    <w:rsid w:val="00400A90"/>
    <w:rsid w:val="0040102D"/>
    <w:rsid w:val="004010B3"/>
    <w:rsid w:val="00401465"/>
    <w:rsid w:val="004018E3"/>
    <w:rsid w:val="00401A51"/>
    <w:rsid w:val="00401E9C"/>
    <w:rsid w:val="00402188"/>
    <w:rsid w:val="0040281F"/>
    <w:rsid w:val="00402AAA"/>
    <w:rsid w:val="00402F90"/>
    <w:rsid w:val="00403185"/>
    <w:rsid w:val="00403AD7"/>
    <w:rsid w:val="00404F28"/>
    <w:rsid w:val="00405163"/>
    <w:rsid w:val="004053B7"/>
    <w:rsid w:val="00405498"/>
    <w:rsid w:val="0040572F"/>
    <w:rsid w:val="00405BA7"/>
    <w:rsid w:val="00405BAA"/>
    <w:rsid w:val="00406194"/>
    <w:rsid w:val="004062FF"/>
    <w:rsid w:val="0040631B"/>
    <w:rsid w:val="00406554"/>
    <w:rsid w:val="00406619"/>
    <w:rsid w:val="004066D2"/>
    <w:rsid w:val="00406825"/>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66A"/>
    <w:rsid w:val="00411F52"/>
    <w:rsid w:val="00412083"/>
    <w:rsid w:val="00412245"/>
    <w:rsid w:val="004122D4"/>
    <w:rsid w:val="0041287F"/>
    <w:rsid w:val="00412DE8"/>
    <w:rsid w:val="00413316"/>
    <w:rsid w:val="004133CE"/>
    <w:rsid w:val="004134DF"/>
    <w:rsid w:val="0041360B"/>
    <w:rsid w:val="00413DE4"/>
    <w:rsid w:val="004143E5"/>
    <w:rsid w:val="0041469A"/>
    <w:rsid w:val="0041497A"/>
    <w:rsid w:val="00415C01"/>
    <w:rsid w:val="00415FBA"/>
    <w:rsid w:val="004162D7"/>
    <w:rsid w:val="004166A0"/>
    <w:rsid w:val="0041677D"/>
    <w:rsid w:val="0041692C"/>
    <w:rsid w:val="00416A93"/>
    <w:rsid w:val="00416BD8"/>
    <w:rsid w:val="004179D0"/>
    <w:rsid w:val="00417A6D"/>
    <w:rsid w:val="004200B0"/>
    <w:rsid w:val="0042017F"/>
    <w:rsid w:val="0042051B"/>
    <w:rsid w:val="00420664"/>
    <w:rsid w:val="004209CA"/>
    <w:rsid w:val="00420A87"/>
    <w:rsid w:val="00420B15"/>
    <w:rsid w:val="00420C24"/>
    <w:rsid w:val="00420DCE"/>
    <w:rsid w:val="00420E5E"/>
    <w:rsid w:val="004212F0"/>
    <w:rsid w:val="00421799"/>
    <w:rsid w:val="0042191F"/>
    <w:rsid w:val="00421E6F"/>
    <w:rsid w:val="00421F78"/>
    <w:rsid w:val="00422267"/>
    <w:rsid w:val="0042227F"/>
    <w:rsid w:val="00422E51"/>
    <w:rsid w:val="00422F98"/>
    <w:rsid w:val="0042317C"/>
    <w:rsid w:val="00423925"/>
    <w:rsid w:val="00423F52"/>
    <w:rsid w:val="00423FEB"/>
    <w:rsid w:val="00424A25"/>
    <w:rsid w:val="00424C2C"/>
    <w:rsid w:val="004250A5"/>
    <w:rsid w:val="004251EE"/>
    <w:rsid w:val="00425CF9"/>
    <w:rsid w:val="00425FF4"/>
    <w:rsid w:val="00426082"/>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4DC"/>
    <w:rsid w:val="00442BAA"/>
    <w:rsid w:val="00442D95"/>
    <w:rsid w:val="00442FB4"/>
    <w:rsid w:val="004430B1"/>
    <w:rsid w:val="00443176"/>
    <w:rsid w:val="00443310"/>
    <w:rsid w:val="00443463"/>
    <w:rsid w:val="004435B4"/>
    <w:rsid w:val="0044367E"/>
    <w:rsid w:val="00444599"/>
    <w:rsid w:val="0044510D"/>
    <w:rsid w:val="00445209"/>
    <w:rsid w:val="004454C2"/>
    <w:rsid w:val="004457B4"/>
    <w:rsid w:val="004457E1"/>
    <w:rsid w:val="00445CA0"/>
    <w:rsid w:val="00446176"/>
    <w:rsid w:val="0044618B"/>
    <w:rsid w:val="00446390"/>
    <w:rsid w:val="004464A2"/>
    <w:rsid w:val="004467D7"/>
    <w:rsid w:val="00446920"/>
    <w:rsid w:val="00447351"/>
    <w:rsid w:val="00447B50"/>
    <w:rsid w:val="00447BD5"/>
    <w:rsid w:val="00447C55"/>
    <w:rsid w:val="0045004D"/>
    <w:rsid w:val="00450066"/>
    <w:rsid w:val="00450B32"/>
    <w:rsid w:val="00450BFC"/>
    <w:rsid w:val="00450C2B"/>
    <w:rsid w:val="00450E1B"/>
    <w:rsid w:val="004512D8"/>
    <w:rsid w:val="0045153F"/>
    <w:rsid w:val="00451B45"/>
    <w:rsid w:val="00451D03"/>
    <w:rsid w:val="00451DF6"/>
    <w:rsid w:val="00451DFE"/>
    <w:rsid w:val="00451EE7"/>
    <w:rsid w:val="00452268"/>
    <w:rsid w:val="0045230A"/>
    <w:rsid w:val="00452AEA"/>
    <w:rsid w:val="00452D17"/>
    <w:rsid w:val="00452E0B"/>
    <w:rsid w:val="00453663"/>
    <w:rsid w:val="004538BB"/>
    <w:rsid w:val="00453F26"/>
    <w:rsid w:val="0045400B"/>
    <w:rsid w:val="0045406B"/>
    <w:rsid w:val="0045426D"/>
    <w:rsid w:val="004548CC"/>
    <w:rsid w:val="0045510B"/>
    <w:rsid w:val="00455385"/>
    <w:rsid w:val="004556CC"/>
    <w:rsid w:val="0045598B"/>
    <w:rsid w:val="00455A7E"/>
    <w:rsid w:val="00455BCE"/>
    <w:rsid w:val="004561E6"/>
    <w:rsid w:val="0045626E"/>
    <w:rsid w:val="004563B8"/>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BA3"/>
    <w:rsid w:val="00467FA5"/>
    <w:rsid w:val="00470D63"/>
    <w:rsid w:val="00471473"/>
    <w:rsid w:val="00471496"/>
    <w:rsid w:val="00471767"/>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D9E"/>
    <w:rsid w:val="00477146"/>
    <w:rsid w:val="004772B4"/>
    <w:rsid w:val="004778C7"/>
    <w:rsid w:val="00477A42"/>
    <w:rsid w:val="00477A89"/>
    <w:rsid w:val="0048018C"/>
    <w:rsid w:val="0048066C"/>
    <w:rsid w:val="0048085A"/>
    <w:rsid w:val="0048087A"/>
    <w:rsid w:val="00480A9E"/>
    <w:rsid w:val="00480DA7"/>
    <w:rsid w:val="0048154D"/>
    <w:rsid w:val="0048157D"/>
    <w:rsid w:val="0048179C"/>
    <w:rsid w:val="00481A57"/>
    <w:rsid w:val="004825B9"/>
    <w:rsid w:val="00482A70"/>
    <w:rsid w:val="00482D46"/>
    <w:rsid w:val="0048304F"/>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2EB"/>
    <w:rsid w:val="00487851"/>
    <w:rsid w:val="004879B6"/>
    <w:rsid w:val="00487EC0"/>
    <w:rsid w:val="00487EC7"/>
    <w:rsid w:val="004903C5"/>
    <w:rsid w:val="00490F9B"/>
    <w:rsid w:val="00491465"/>
    <w:rsid w:val="0049165E"/>
    <w:rsid w:val="0049180E"/>
    <w:rsid w:val="00491A11"/>
    <w:rsid w:val="00491C2A"/>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46"/>
    <w:rsid w:val="004A07E7"/>
    <w:rsid w:val="004A0D32"/>
    <w:rsid w:val="004A0E8E"/>
    <w:rsid w:val="004A142F"/>
    <w:rsid w:val="004A200E"/>
    <w:rsid w:val="004A2164"/>
    <w:rsid w:val="004A2515"/>
    <w:rsid w:val="004A2B54"/>
    <w:rsid w:val="004A2E41"/>
    <w:rsid w:val="004A30FA"/>
    <w:rsid w:val="004A324F"/>
    <w:rsid w:val="004A349F"/>
    <w:rsid w:val="004A35BE"/>
    <w:rsid w:val="004A39FD"/>
    <w:rsid w:val="004A45E4"/>
    <w:rsid w:val="004A4A85"/>
    <w:rsid w:val="004A4D43"/>
    <w:rsid w:val="004A5164"/>
    <w:rsid w:val="004A5391"/>
    <w:rsid w:val="004A5619"/>
    <w:rsid w:val="004A5897"/>
    <w:rsid w:val="004A593E"/>
    <w:rsid w:val="004A5A65"/>
    <w:rsid w:val="004A5B3B"/>
    <w:rsid w:val="004A5D61"/>
    <w:rsid w:val="004A64AB"/>
    <w:rsid w:val="004A650C"/>
    <w:rsid w:val="004A69C8"/>
    <w:rsid w:val="004A6C97"/>
    <w:rsid w:val="004A79D7"/>
    <w:rsid w:val="004A7AA8"/>
    <w:rsid w:val="004A7F29"/>
    <w:rsid w:val="004B0796"/>
    <w:rsid w:val="004B097B"/>
    <w:rsid w:val="004B09F7"/>
    <w:rsid w:val="004B0E07"/>
    <w:rsid w:val="004B0E1F"/>
    <w:rsid w:val="004B10EC"/>
    <w:rsid w:val="004B141F"/>
    <w:rsid w:val="004B1491"/>
    <w:rsid w:val="004B1675"/>
    <w:rsid w:val="004B16BA"/>
    <w:rsid w:val="004B1CAC"/>
    <w:rsid w:val="004B1E8C"/>
    <w:rsid w:val="004B286C"/>
    <w:rsid w:val="004B3987"/>
    <w:rsid w:val="004B3A9B"/>
    <w:rsid w:val="004B3C6B"/>
    <w:rsid w:val="004B441C"/>
    <w:rsid w:val="004B44C5"/>
    <w:rsid w:val="004B46A6"/>
    <w:rsid w:val="004B4B80"/>
    <w:rsid w:val="004B55DC"/>
    <w:rsid w:val="004B6890"/>
    <w:rsid w:val="004B7FA5"/>
    <w:rsid w:val="004C0346"/>
    <w:rsid w:val="004C0479"/>
    <w:rsid w:val="004C0A38"/>
    <w:rsid w:val="004C1076"/>
    <w:rsid w:val="004C112B"/>
    <w:rsid w:val="004C12BA"/>
    <w:rsid w:val="004C1649"/>
    <w:rsid w:val="004C1A1C"/>
    <w:rsid w:val="004C1AD1"/>
    <w:rsid w:val="004C1DBC"/>
    <w:rsid w:val="004C1E33"/>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C7F8E"/>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96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8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B45"/>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4F7FB1"/>
    <w:rsid w:val="00500110"/>
    <w:rsid w:val="00500799"/>
    <w:rsid w:val="00500DE8"/>
    <w:rsid w:val="00501064"/>
    <w:rsid w:val="005014FC"/>
    <w:rsid w:val="005019B5"/>
    <w:rsid w:val="005019C0"/>
    <w:rsid w:val="00501B89"/>
    <w:rsid w:val="0050225A"/>
    <w:rsid w:val="00502D81"/>
    <w:rsid w:val="00502D90"/>
    <w:rsid w:val="00502E1D"/>
    <w:rsid w:val="00502F97"/>
    <w:rsid w:val="00503352"/>
    <w:rsid w:val="005033D8"/>
    <w:rsid w:val="00503662"/>
    <w:rsid w:val="00503CF7"/>
    <w:rsid w:val="00503F00"/>
    <w:rsid w:val="005042D3"/>
    <w:rsid w:val="00504A6A"/>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1E9F"/>
    <w:rsid w:val="00512229"/>
    <w:rsid w:val="00512721"/>
    <w:rsid w:val="00512DFB"/>
    <w:rsid w:val="00512E08"/>
    <w:rsid w:val="005135E4"/>
    <w:rsid w:val="00513EDA"/>
    <w:rsid w:val="00513F6B"/>
    <w:rsid w:val="005142A8"/>
    <w:rsid w:val="00514425"/>
    <w:rsid w:val="00514E2D"/>
    <w:rsid w:val="00514ECF"/>
    <w:rsid w:val="005157CD"/>
    <w:rsid w:val="00515B23"/>
    <w:rsid w:val="00515C39"/>
    <w:rsid w:val="00516381"/>
    <w:rsid w:val="00516487"/>
    <w:rsid w:val="00516C58"/>
    <w:rsid w:val="005173C0"/>
    <w:rsid w:val="00517471"/>
    <w:rsid w:val="00520415"/>
    <w:rsid w:val="005204AE"/>
    <w:rsid w:val="00520A59"/>
    <w:rsid w:val="00520C35"/>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C69"/>
    <w:rsid w:val="00531DE9"/>
    <w:rsid w:val="00531F4B"/>
    <w:rsid w:val="0053272A"/>
    <w:rsid w:val="0053349A"/>
    <w:rsid w:val="005334AF"/>
    <w:rsid w:val="005336D9"/>
    <w:rsid w:val="00533DD7"/>
    <w:rsid w:val="00534175"/>
    <w:rsid w:val="00534196"/>
    <w:rsid w:val="0053426F"/>
    <w:rsid w:val="00534527"/>
    <w:rsid w:val="0053497F"/>
    <w:rsid w:val="00534DA3"/>
    <w:rsid w:val="00534DD6"/>
    <w:rsid w:val="0053530F"/>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D40"/>
    <w:rsid w:val="005414E2"/>
    <w:rsid w:val="0054160D"/>
    <w:rsid w:val="005416A2"/>
    <w:rsid w:val="00541EB7"/>
    <w:rsid w:val="00542945"/>
    <w:rsid w:val="00542AD5"/>
    <w:rsid w:val="00542B3F"/>
    <w:rsid w:val="00542DE5"/>
    <w:rsid w:val="00542EDE"/>
    <w:rsid w:val="0054341E"/>
    <w:rsid w:val="00543FC2"/>
    <w:rsid w:val="00543FD6"/>
    <w:rsid w:val="0054405B"/>
    <w:rsid w:val="00544088"/>
    <w:rsid w:val="0054433B"/>
    <w:rsid w:val="00544AD7"/>
    <w:rsid w:val="005452DF"/>
    <w:rsid w:val="0054585E"/>
    <w:rsid w:val="00545B76"/>
    <w:rsid w:val="00546073"/>
    <w:rsid w:val="0054736B"/>
    <w:rsid w:val="005478BB"/>
    <w:rsid w:val="00547BC4"/>
    <w:rsid w:val="00550BE8"/>
    <w:rsid w:val="00550C69"/>
    <w:rsid w:val="00551607"/>
    <w:rsid w:val="005520DF"/>
    <w:rsid w:val="00552423"/>
    <w:rsid w:val="005530FE"/>
    <w:rsid w:val="005534BB"/>
    <w:rsid w:val="00553651"/>
    <w:rsid w:val="0055365C"/>
    <w:rsid w:val="00553668"/>
    <w:rsid w:val="00553ADF"/>
    <w:rsid w:val="005541D4"/>
    <w:rsid w:val="00554A10"/>
    <w:rsid w:val="00554E4B"/>
    <w:rsid w:val="005550AC"/>
    <w:rsid w:val="005565AB"/>
    <w:rsid w:val="00556A21"/>
    <w:rsid w:val="00556E29"/>
    <w:rsid w:val="00556EE7"/>
    <w:rsid w:val="0055729D"/>
    <w:rsid w:val="005600EE"/>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4D88"/>
    <w:rsid w:val="00565127"/>
    <w:rsid w:val="00565F98"/>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49"/>
    <w:rsid w:val="00573EC6"/>
    <w:rsid w:val="005740BA"/>
    <w:rsid w:val="005746CB"/>
    <w:rsid w:val="00574A48"/>
    <w:rsid w:val="00574A5F"/>
    <w:rsid w:val="00574C1C"/>
    <w:rsid w:val="00574E66"/>
    <w:rsid w:val="005754AF"/>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1D"/>
    <w:rsid w:val="00581978"/>
    <w:rsid w:val="00581FFE"/>
    <w:rsid w:val="0058204D"/>
    <w:rsid w:val="0058252A"/>
    <w:rsid w:val="00582647"/>
    <w:rsid w:val="00582B72"/>
    <w:rsid w:val="00582C5B"/>
    <w:rsid w:val="00582EE0"/>
    <w:rsid w:val="00582FAD"/>
    <w:rsid w:val="00583129"/>
    <w:rsid w:val="005835F6"/>
    <w:rsid w:val="00583D40"/>
    <w:rsid w:val="00583E2B"/>
    <w:rsid w:val="00583E96"/>
    <w:rsid w:val="005840D6"/>
    <w:rsid w:val="00584A5C"/>
    <w:rsid w:val="00584B8F"/>
    <w:rsid w:val="00584E40"/>
    <w:rsid w:val="0058551B"/>
    <w:rsid w:val="00585C73"/>
    <w:rsid w:val="005867AE"/>
    <w:rsid w:val="00587A9A"/>
    <w:rsid w:val="00587F6A"/>
    <w:rsid w:val="00587FAB"/>
    <w:rsid w:val="00587FCB"/>
    <w:rsid w:val="005900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3C1"/>
    <w:rsid w:val="0059717E"/>
    <w:rsid w:val="00597359"/>
    <w:rsid w:val="00597C8C"/>
    <w:rsid w:val="00597D3A"/>
    <w:rsid w:val="005A02B2"/>
    <w:rsid w:val="005A0352"/>
    <w:rsid w:val="005A04E8"/>
    <w:rsid w:val="005A0F75"/>
    <w:rsid w:val="005A1360"/>
    <w:rsid w:val="005A1526"/>
    <w:rsid w:val="005A15BB"/>
    <w:rsid w:val="005A15E6"/>
    <w:rsid w:val="005A1C96"/>
    <w:rsid w:val="005A2142"/>
    <w:rsid w:val="005A21FA"/>
    <w:rsid w:val="005A24B9"/>
    <w:rsid w:val="005A274F"/>
    <w:rsid w:val="005A2951"/>
    <w:rsid w:val="005A2A5D"/>
    <w:rsid w:val="005A2CB7"/>
    <w:rsid w:val="005A3174"/>
    <w:rsid w:val="005A3AA2"/>
    <w:rsid w:val="005A4144"/>
    <w:rsid w:val="005A42D6"/>
    <w:rsid w:val="005A44BF"/>
    <w:rsid w:val="005A44DD"/>
    <w:rsid w:val="005A4E7B"/>
    <w:rsid w:val="005A4E82"/>
    <w:rsid w:val="005A5248"/>
    <w:rsid w:val="005A7264"/>
    <w:rsid w:val="005A72EE"/>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BF4"/>
    <w:rsid w:val="005B4CFC"/>
    <w:rsid w:val="005B4E3F"/>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5DD"/>
    <w:rsid w:val="005B79F9"/>
    <w:rsid w:val="005C05A5"/>
    <w:rsid w:val="005C0642"/>
    <w:rsid w:val="005C07A1"/>
    <w:rsid w:val="005C0FC8"/>
    <w:rsid w:val="005C104B"/>
    <w:rsid w:val="005C2338"/>
    <w:rsid w:val="005C23E4"/>
    <w:rsid w:val="005C2463"/>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2C"/>
    <w:rsid w:val="005C6825"/>
    <w:rsid w:val="005C6B73"/>
    <w:rsid w:val="005C6BE2"/>
    <w:rsid w:val="005C7A7A"/>
    <w:rsid w:val="005D0397"/>
    <w:rsid w:val="005D0565"/>
    <w:rsid w:val="005D071D"/>
    <w:rsid w:val="005D09B8"/>
    <w:rsid w:val="005D0E1C"/>
    <w:rsid w:val="005D1075"/>
    <w:rsid w:val="005D1248"/>
    <w:rsid w:val="005D1255"/>
    <w:rsid w:val="005D12C4"/>
    <w:rsid w:val="005D141F"/>
    <w:rsid w:val="005D1494"/>
    <w:rsid w:val="005D1C5E"/>
    <w:rsid w:val="005D1FD0"/>
    <w:rsid w:val="005D2102"/>
    <w:rsid w:val="005D2885"/>
    <w:rsid w:val="005D395A"/>
    <w:rsid w:val="005D3E83"/>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21D2"/>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D33"/>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F2D"/>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407"/>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AFB"/>
    <w:rsid w:val="00613B4D"/>
    <w:rsid w:val="00614254"/>
    <w:rsid w:val="00614317"/>
    <w:rsid w:val="0061433C"/>
    <w:rsid w:val="006143BD"/>
    <w:rsid w:val="0061440E"/>
    <w:rsid w:val="0061445B"/>
    <w:rsid w:val="006146B5"/>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65B"/>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2D3C"/>
    <w:rsid w:val="006330C8"/>
    <w:rsid w:val="006331BD"/>
    <w:rsid w:val="00633361"/>
    <w:rsid w:val="00633519"/>
    <w:rsid w:val="00633D4A"/>
    <w:rsid w:val="00634481"/>
    <w:rsid w:val="00634813"/>
    <w:rsid w:val="00634A54"/>
    <w:rsid w:val="00634E22"/>
    <w:rsid w:val="006357F6"/>
    <w:rsid w:val="00635893"/>
    <w:rsid w:val="00635A9E"/>
    <w:rsid w:val="00635C17"/>
    <w:rsid w:val="00635FEF"/>
    <w:rsid w:val="00636354"/>
    <w:rsid w:val="00636447"/>
    <w:rsid w:val="00636998"/>
    <w:rsid w:val="00636A17"/>
    <w:rsid w:val="0063703B"/>
    <w:rsid w:val="006378C4"/>
    <w:rsid w:val="00640E50"/>
    <w:rsid w:val="00640EC7"/>
    <w:rsid w:val="00641975"/>
    <w:rsid w:val="00641FE4"/>
    <w:rsid w:val="006421A8"/>
    <w:rsid w:val="00642290"/>
    <w:rsid w:val="006423EC"/>
    <w:rsid w:val="00642B49"/>
    <w:rsid w:val="00642E73"/>
    <w:rsid w:val="006430E4"/>
    <w:rsid w:val="00643126"/>
    <w:rsid w:val="006434FB"/>
    <w:rsid w:val="00644027"/>
    <w:rsid w:val="0064428A"/>
    <w:rsid w:val="00644375"/>
    <w:rsid w:val="006444A0"/>
    <w:rsid w:val="006445F9"/>
    <w:rsid w:val="0064481A"/>
    <w:rsid w:val="00644A6E"/>
    <w:rsid w:val="00644C3A"/>
    <w:rsid w:val="00644D13"/>
    <w:rsid w:val="00645089"/>
    <w:rsid w:val="00645553"/>
    <w:rsid w:val="00645637"/>
    <w:rsid w:val="0064565A"/>
    <w:rsid w:val="0064591A"/>
    <w:rsid w:val="00645A8E"/>
    <w:rsid w:val="00645D07"/>
    <w:rsid w:val="00645E86"/>
    <w:rsid w:val="0064759D"/>
    <w:rsid w:val="00647645"/>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1FE9"/>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9E4"/>
    <w:rsid w:val="00661C62"/>
    <w:rsid w:val="00661D3E"/>
    <w:rsid w:val="0066220E"/>
    <w:rsid w:val="00662307"/>
    <w:rsid w:val="006623B5"/>
    <w:rsid w:val="0066247E"/>
    <w:rsid w:val="00662611"/>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7DC"/>
    <w:rsid w:val="00670C77"/>
    <w:rsid w:val="00670F64"/>
    <w:rsid w:val="00671260"/>
    <w:rsid w:val="006712C2"/>
    <w:rsid w:val="00671492"/>
    <w:rsid w:val="006717E1"/>
    <w:rsid w:val="00671D89"/>
    <w:rsid w:val="00671FFF"/>
    <w:rsid w:val="00672399"/>
    <w:rsid w:val="0067295F"/>
    <w:rsid w:val="00672BB1"/>
    <w:rsid w:val="00672C03"/>
    <w:rsid w:val="00672D08"/>
    <w:rsid w:val="00673B0F"/>
    <w:rsid w:val="00673B43"/>
    <w:rsid w:val="00673F70"/>
    <w:rsid w:val="00674196"/>
    <w:rsid w:val="00674720"/>
    <w:rsid w:val="00674C30"/>
    <w:rsid w:val="00675203"/>
    <w:rsid w:val="00675E8D"/>
    <w:rsid w:val="006760A1"/>
    <w:rsid w:val="00676B02"/>
    <w:rsid w:val="006770D4"/>
    <w:rsid w:val="006773B8"/>
    <w:rsid w:val="006773E8"/>
    <w:rsid w:val="00677547"/>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B8F"/>
    <w:rsid w:val="00683D2E"/>
    <w:rsid w:val="006842BF"/>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5F"/>
    <w:rsid w:val="0069186E"/>
    <w:rsid w:val="00691BD2"/>
    <w:rsid w:val="0069210E"/>
    <w:rsid w:val="00692220"/>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9E4"/>
    <w:rsid w:val="00697AB9"/>
    <w:rsid w:val="00697EA6"/>
    <w:rsid w:val="006A0425"/>
    <w:rsid w:val="006A0FAB"/>
    <w:rsid w:val="006A14B6"/>
    <w:rsid w:val="006A1A20"/>
    <w:rsid w:val="006A2763"/>
    <w:rsid w:val="006A2DEE"/>
    <w:rsid w:val="006A3236"/>
    <w:rsid w:val="006A3398"/>
    <w:rsid w:val="006A396B"/>
    <w:rsid w:val="006A3A4C"/>
    <w:rsid w:val="006A3A96"/>
    <w:rsid w:val="006A4025"/>
    <w:rsid w:val="006A40D7"/>
    <w:rsid w:val="006A4700"/>
    <w:rsid w:val="006A4C45"/>
    <w:rsid w:val="006A4D08"/>
    <w:rsid w:val="006A4D41"/>
    <w:rsid w:val="006A4F24"/>
    <w:rsid w:val="006A5AFF"/>
    <w:rsid w:val="006A5ECE"/>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2CE3"/>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2F"/>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AE0"/>
    <w:rsid w:val="006C5DF4"/>
    <w:rsid w:val="006C660C"/>
    <w:rsid w:val="006C66D5"/>
    <w:rsid w:val="006C6879"/>
    <w:rsid w:val="006C68CD"/>
    <w:rsid w:val="006C71AB"/>
    <w:rsid w:val="006D0741"/>
    <w:rsid w:val="006D0A00"/>
    <w:rsid w:val="006D0A6F"/>
    <w:rsid w:val="006D0E5A"/>
    <w:rsid w:val="006D0EC4"/>
    <w:rsid w:val="006D10E8"/>
    <w:rsid w:val="006D119C"/>
    <w:rsid w:val="006D1F8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8B1"/>
    <w:rsid w:val="006E1B35"/>
    <w:rsid w:val="006E1C9C"/>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BAF"/>
    <w:rsid w:val="006F3D39"/>
    <w:rsid w:val="006F404A"/>
    <w:rsid w:val="006F4752"/>
    <w:rsid w:val="006F4DE0"/>
    <w:rsid w:val="006F4FC1"/>
    <w:rsid w:val="006F536D"/>
    <w:rsid w:val="006F55BB"/>
    <w:rsid w:val="006F5601"/>
    <w:rsid w:val="006F56E3"/>
    <w:rsid w:val="006F58AF"/>
    <w:rsid w:val="006F58D3"/>
    <w:rsid w:val="006F5EBE"/>
    <w:rsid w:val="006F64D1"/>
    <w:rsid w:val="006F64DF"/>
    <w:rsid w:val="006F650B"/>
    <w:rsid w:val="006F650C"/>
    <w:rsid w:val="006F65F8"/>
    <w:rsid w:val="006F6977"/>
    <w:rsid w:val="006F747F"/>
    <w:rsid w:val="006F7562"/>
    <w:rsid w:val="0070005F"/>
    <w:rsid w:val="007001B1"/>
    <w:rsid w:val="00700C18"/>
    <w:rsid w:val="007010C5"/>
    <w:rsid w:val="007011AB"/>
    <w:rsid w:val="00701595"/>
    <w:rsid w:val="00701BC0"/>
    <w:rsid w:val="00701F5E"/>
    <w:rsid w:val="007023F5"/>
    <w:rsid w:val="00702B73"/>
    <w:rsid w:val="00702D28"/>
    <w:rsid w:val="00703009"/>
    <w:rsid w:val="00703986"/>
    <w:rsid w:val="00703AF1"/>
    <w:rsid w:val="00703BC5"/>
    <w:rsid w:val="00703E71"/>
    <w:rsid w:val="00704255"/>
    <w:rsid w:val="00704C93"/>
    <w:rsid w:val="00704D0F"/>
    <w:rsid w:val="00705752"/>
    <w:rsid w:val="00705C91"/>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D69"/>
    <w:rsid w:val="0071329F"/>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F19"/>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28A"/>
    <w:rsid w:val="00726359"/>
    <w:rsid w:val="00726A4B"/>
    <w:rsid w:val="00726B50"/>
    <w:rsid w:val="00726B62"/>
    <w:rsid w:val="00726E5A"/>
    <w:rsid w:val="00727294"/>
    <w:rsid w:val="00727346"/>
    <w:rsid w:val="0072771D"/>
    <w:rsid w:val="00727BF4"/>
    <w:rsid w:val="00727D31"/>
    <w:rsid w:val="00727D59"/>
    <w:rsid w:val="00727ED3"/>
    <w:rsid w:val="007312FD"/>
    <w:rsid w:val="00731798"/>
    <w:rsid w:val="007322F9"/>
    <w:rsid w:val="00732B3E"/>
    <w:rsid w:val="00732B4D"/>
    <w:rsid w:val="00732E60"/>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8EA"/>
    <w:rsid w:val="00742974"/>
    <w:rsid w:val="00742E83"/>
    <w:rsid w:val="00743779"/>
    <w:rsid w:val="00743C5A"/>
    <w:rsid w:val="00743E88"/>
    <w:rsid w:val="007444C1"/>
    <w:rsid w:val="0074479B"/>
    <w:rsid w:val="00744FEC"/>
    <w:rsid w:val="0074545B"/>
    <w:rsid w:val="00745643"/>
    <w:rsid w:val="007458C6"/>
    <w:rsid w:val="007459A9"/>
    <w:rsid w:val="00745DFB"/>
    <w:rsid w:val="00746166"/>
    <w:rsid w:val="00746362"/>
    <w:rsid w:val="00746592"/>
    <w:rsid w:val="007472DD"/>
    <w:rsid w:val="007474E3"/>
    <w:rsid w:val="007477CB"/>
    <w:rsid w:val="0075075D"/>
    <w:rsid w:val="00750760"/>
    <w:rsid w:val="0075092B"/>
    <w:rsid w:val="00750D2B"/>
    <w:rsid w:val="00750DDB"/>
    <w:rsid w:val="00750F60"/>
    <w:rsid w:val="00750FCA"/>
    <w:rsid w:val="00752085"/>
    <w:rsid w:val="007525FC"/>
    <w:rsid w:val="00752726"/>
    <w:rsid w:val="007528E3"/>
    <w:rsid w:val="0075295B"/>
    <w:rsid w:val="00753414"/>
    <w:rsid w:val="0075357D"/>
    <w:rsid w:val="007535AA"/>
    <w:rsid w:val="007535DA"/>
    <w:rsid w:val="0075373B"/>
    <w:rsid w:val="00753E07"/>
    <w:rsid w:val="00753FA3"/>
    <w:rsid w:val="00754558"/>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6D9"/>
    <w:rsid w:val="00762D06"/>
    <w:rsid w:val="00762D0E"/>
    <w:rsid w:val="0076407E"/>
    <w:rsid w:val="00764110"/>
    <w:rsid w:val="00764456"/>
    <w:rsid w:val="00764E15"/>
    <w:rsid w:val="00765855"/>
    <w:rsid w:val="00765F41"/>
    <w:rsid w:val="00765F49"/>
    <w:rsid w:val="007660F9"/>
    <w:rsid w:val="007667D9"/>
    <w:rsid w:val="00766982"/>
    <w:rsid w:val="00767205"/>
    <w:rsid w:val="007672AA"/>
    <w:rsid w:val="007673BD"/>
    <w:rsid w:val="007673EA"/>
    <w:rsid w:val="0076773C"/>
    <w:rsid w:val="00767852"/>
    <w:rsid w:val="00767D34"/>
    <w:rsid w:val="0077067E"/>
    <w:rsid w:val="00770D11"/>
    <w:rsid w:val="007712BF"/>
    <w:rsid w:val="007715AA"/>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730"/>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DBA"/>
    <w:rsid w:val="00783F49"/>
    <w:rsid w:val="007843F4"/>
    <w:rsid w:val="00784A45"/>
    <w:rsid w:val="00784B91"/>
    <w:rsid w:val="00785089"/>
    <w:rsid w:val="007851E1"/>
    <w:rsid w:val="00785300"/>
    <w:rsid w:val="00785438"/>
    <w:rsid w:val="0078568D"/>
    <w:rsid w:val="00785938"/>
    <w:rsid w:val="00785A12"/>
    <w:rsid w:val="00785AA2"/>
    <w:rsid w:val="00785AEE"/>
    <w:rsid w:val="00785FCA"/>
    <w:rsid w:val="00786086"/>
    <w:rsid w:val="007860F7"/>
    <w:rsid w:val="007861EC"/>
    <w:rsid w:val="00786379"/>
    <w:rsid w:val="007864F2"/>
    <w:rsid w:val="00786862"/>
    <w:rsid w:val="00786B21"/>
    <w:rsid w:val="00787178"/>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D26"/>
    <w:rsid w:val="00796EA4"/>
    <w:rsid w:val="00797148"/>
    <w:rsid w:val="00797272"/>
    <w:rsid w:val="00797BC5"/>
    <w:rsid w:val="00797D2E"/>
    <w:rsid w:val="007A01A6"/>
    <w:rsid w:val="007A05FD"/>
    <w:rsid w:val="007A09E6"/>
    <w:rsid w:val="007A1097"/>
    <w:rsid w:val="007A146A"/>
    <w:rsid w:val="007A1488"/>
    <w:rsid w:val="007A1A56"/>
    <w:rsid w:val="007A22B8"/>
    <w:rsid w:val="007A2603"/>
    <w:rsid w:val="007A29BF"/>
    <w:rsid w:val="007A2C14"/>
    <w:rsid w:val="007A2C47"/>
    <w:rsid w:val="007A3485"/>
    <w:rsid w:val="007A38DD"/>
    <w:rsid w:val="007A3903"/>
    <w:rsid w:val="007A3B3F"/>
    <w:rsid w:val="007A402E"/>
    <w:rsid w:val="007A424F"/>
    <w:rsid w:val="007A47C6"/>
    <w:rsid w:val="007A4821"/>
    <w:rsid w:val="007A4B65"/>
    <w:rsid w:val="007A4BA3"/>
    <w:rsid w:val="007A4C6F"/>
    <w:rsid w:val="007A4DE7"/>
    <w:rsid w:val="007A4E1C"/>
    <w:rsid w:val="007A52E8"/>
    <w:rsid w:val="007A5758"/>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6F79"/>
    <w:rsid w:val="007B74C4"/>
    <w:rsid w:val="007B7559"/>
    <w:rsid w:val="007B76C3"/>
    <w:rsid w:val="007B76F2"/>
    <w:rsid w:val="007B7A2B"/>
    <w:rsid w:val="007C1100"/>
    <w:rsid w:val="007C11ED"/>
    <w:rsid w:val="007C177D"/>
    <w:rsid w:val="007C1A65"/>
    <w:rsid w:val="007C2272"/>
    <w:rsid w:val="007C22CA"/>
    <w:rsid w:val="007C263F"/>
    <w:rsid w:val="007C2698"/>
    <w:rsid w:val="007C27BC"/>
    <w:rsid w:val="007C2839"/>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645"/>
    <w:rsid w:val="007C7ABA"/>
    <w:rsid w:val="007C7BDE"/>
    <w:rsid w:val="007C7E1E"/>
    <w:rsid w:val="007D00DF"/>
    <w:rsid w:val="007D02A3"/>
    <w:rsid w:val="007D0435"/>
    <w:rsid w:val="007D0603"/>
    <w:rsid w:val="007D082B"/>
    <w:rsid w:val="007D0C23"/>
    <w:rsid w:val="007D1854"/>
    <w:rsid w:val="007D1C4B"/>
    <w:rsid w:val="007D1D3B"/>
    <w:rsid w:val="007D20E3"/>
    <w:rsid w:val="007D2187"/>
    <w:rsid w:val="007D229D"/>
    <w:rsid w:val="007D25BC"/>
    <w:rsid w:val="007D29CE"/>
    <w:rsid w:val="007D2ABA"/>
    <w:rsid w:val="007D2F8D"/>
    <w:rsid w:val="007D3339"/>
    <w:rsid w:val="007D45FF"/>
    <w:rsid w:val="007D4AB6"/>
    <w:rsid w:val="007D4B22"/>
    <w:rsid w:val="007D4E91"/>
    <w:rsid w:val="007D50FD"/>
    <w:rsid w:val="007D5363"/>
    <w:rsid w:val="007D5449"/>
    <w:rsid w:val="007D5534"/>
    <w:rsid w:val="007D5758"/>
    <w:rsid w:val="007D5923"/>
    <w:rsid w:val="007D5A97"/>
    <w:rsid w:val="007D5C33"/>
    <w:rsid w:val="007D605B"/>
    <w:rsid w:val="007D7398"/>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A30"/>
    <w:rsid w:val="007E5278"/>
    <w:rsid w:val="007E536E"/>
    <w:rsid w:val="007E5C43"/>
    <w:rsid w:val="007E5DAB"/>
    <w:rsid w:val="007E5F8D"/>
    <w:rsid w:val="007E679C"/>
    <w:rsid w:val="007E6818"/>
    <w:rsid w:val="007E6819"/>
    <w:rsid w:val="007E6F77"/>
    <w:rsid w:val="007E7B22"/>
    <w:rsid w:val="007E7BF2"/>
    <w:rsid w:val="007E7E0B"/>
    <w:rsid w:val="007E7E4B"/>
    <w:rsid w:val="007E7F34"/>
    <w:rsid w:val="007F1A6B"/>
    <w:rsid w:val="007F1D7C"/>
    <w:rsid w:val="007F2545"/>
    <w:rsid w:val="007F26D5"/>
    <w:rsid w:val="007F297D"/>
    <w:rsid w:val="007F2BA6"/>
    <w:rsid w:val="007F3088"/>
    <w:rsid w:val="007F32C9"/>
    <w:rsid w:val="007F35A0"/>
    <w:rsid w:val="007F3BFB"/>
    <w:rsid w:val="007F4249"/>
    <w:rsid w:val="007F4643"/>
    <w:rsid w:val="007F4C28"/>
    <w:rsid w:val="007F52F1"/>
    <w:rsid w:val="007F5B9D"/>
    <w:rsid w:val="007F5E2A"/>
    <w:rsid w:val="007F6374"/>
    <w:rsid w:val="007F66D7"/>
    <w:rsid w:val="007F68B8"/>
    <w:rsid w:val="007F6F7A"/>
    <w:rsid w:val="007F7420"/>
    <w:rsid w:val="007F75BE"/>
    <w:rsid w:val="007F7B44"/>
    <w:rsid w:val="007F7FB2"/>
    <w:rsid w:val="008000C5"/>
    <w:rsid w:val="008004DF"/>
    <w:rsid w:val="00800745"/>
    <w:rsid w:val="0080079F"/>
    <w:rsid w:val="00801416"/>
    <w:rsid w:val="00801F39"/>
    <w:rsid w:val="00802595"/>
    <w:rsid w:val="00802698"/>
    <w:rsid w:val="00802711"/>
    <w:rsid w:val="008029FB"/>
    <w:rsid w:val="00802A6A"/>
    <w:rsid w:val="00802D08"/>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D1D"/>
    <w:rsid w:val="00807EA8"/>
    <w:rsid w:val="00807FD2"/>
    <w:rsid w:val="0081025F"/>
    <w:rsid w:val="008102DA"/>
    <w:rsid w:val="00810394"/>
    <w:rsid w:val="0081053C"/>
    <w:rsid w:val="00810583"/>
    <w:rsid w:val="00810594"/>
    <w:rsid w:val="00810B9B"/>
    <w:rsid w:val="00810C40"/>
    <w:rsid w:val="00810C97"/>
    <w:rsid w:val="00810DB7"/>
    <w:rsid w:val="0081130A"/>
    <w:rsid w:val="008113A3"/>
    <w:rsid w:val="008114B8"/>
    <w:rsid w:val="00811BE4"/>
    <w:rsid w:val="00811D7A"/>
    <w:rsid w:val="00812471"/>
    <w:rsid w:val="008125FD"/>
    <w:rsid w:val="00812815"/>
    <w:rsid w:val="00812942"/>
    <w:rsid w:val="00812A2A"/>
    <w:rsid w:val="00812EAE"/>
    <w:rsid w:val="008130E7"/>
    <w:rsid w:val="008134CB"/>
    <w:rsid w:val="0081365B"/>
    <w:rsid w:val="00813897"/>
    <w:rsid w:val="00813B7A"/>
    <w:rsid w:val="008141F0"/>
    <w:rsid w:val="008144C5"/>
    <w:rsid w:val="008151D9"/>
    <w:rsid w:val="0081521B"/>
    <w:rsid w:val="0081542B"/>
    <w:rsid w:val="00815479"/>
    <w:rsid w:val="00815A5C"/>
    <w:rsid w:val="00815BDC"/>
    <w:rsid w:val="00815FE5"/>
    <w:rsid w:val="00816E7C"/>
    <w:rsid w:val="00817873"/>
    <w:rsid w:val="00817ED1"/>
    <w:rsid w:val="00817F55"/>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47E"/>
    <w:rsid w:val="008265B4"/>
    <w:rsid w:val="00826694"/>
    <w:rsid w:val="0082677C"/>
    <w:rsid w:val="00826FF7"/>
    <w:rsid w:val="008273E7"/>
    <w:rsid w:val="00827625"/>
    <w:rsid w:val="008276EA"/>
    <w:rsid w:val="00827871"/>
    <w:rsid w:val="00827CEB"/>
    <w:rsid w:val="00827DC6"/>
    <w:rsid w:val="00830017"/>
    <w:rsid w:val="008300F0"/>
    <w:rsid w:val="008303BE"/>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6D8"/>
    <w:rsid w:val="0083775B"/>
    <w:rsid w:val="00840D81"/>
    <w:rsid w:val="00840DFB"/>
    <w:rsid w:val="00840EEC"/>
    <w:rsid w:val="008411FB"/>
    <w:rsid w:val="00841202"/>
    <w:rsid w:val="00841303"/>
    <w:rsid w:val="00841F95"/>
    <w:rsid w:val="00842269"/>
    <w:rsid w:val="008423CE"/>
    <w:rsid w:val="0084291E"/>
    <w:rsid w:val="00842D21"/>
    <w:rsid w:val="00842F95"/>
    <w:rsid w:val="00843072"/>
    <w:rsid w:val="008432D3"/>
    <w:rsid w:val="008436A2"/>
    <w:rsid w:val="00843770"/>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4D8"/>
    <w:rsid w:val="00847833"/>
    <w:rsid w:val="00847A28"/>
    <w:rsid w:val="00850090"/>
    <w:rsid w:val="008500A9"/>
    <w:rsid w:val="00850766"/>
    <w:rsid w:val="00850A6C"/>
    <w:rsid w:val="00850DE6"/>
    <w:rsid w:val="00851DEE"/>
    <w:rsid w:val="0085205A"/>
    <w:rsid w:val="0085232C"/>
    <w:rsid w:val="00852345"/>
    <w:rsid w:val="00852C4A"/>
    <w:rsid w:val="00852C8B"/>
    <w:rsid w:val="00853053"/>
    <w:rsid w:val="0085362D"/>
    <w:rsid w:val="008536DA"/>
    <w:rsid w:val="008538DB"/>
    <w:rsid w:val="00853987"/>
    <w:rsid w:val="00853B92"/>
    <w:rsid w:val="00854775"/>
    <w:rsid w:val="00854891"/>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F79"/>
    <w:rsid w:val="0086233C"/>
    <w:rsid w:val="00862F01"/>
    <w:rsid w:val="008637EB"/>
    <w:rsid w:val="00863896"/>
    <w:rsid w:val="008638D3"/>
    <w:rsid w:val="00863AA4"/>
    <w:rsid w:val="00863B8B"/>
    <w:rsid w:val="00863D3A"/>
    <w:rsid w:val="008641E8"/>
    <w:rsid w:val="0086429F"/>
    <w:rsid w:val="00864302"/>
    <w:rsid w:val="00864309"/>
    <w:rsid w:val="0086451D"/>
    <w:rsid w:val="0086483B"/>
    <w:rsid w:val="00864D11"/>
    <w:rsid w:val="00864DAF"/>
    <w:rsid w:val="00864E4E"/>
    <w:rsid w:val="00865097"/>
    <w:rsid w:val="008652B7"/>
    <w:rsid w:val="00865535"/>
    <w:rsid w:val="008659B7"/>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AF"/>
    <w:rsid w:val="00874B42"/>
    <w:rsid w:val="00874D8C"/>
    <w:rsid w:val="008759AC"/>
    <w:rsid w:val="00875A2E"/>
    <w:rsid w:val="00875CD3"/>
    <w:rsid w:val="008762A2"/>
    <w:rsid w:val="00876BC7"/>
    <w:rsid w:val="00876EAC"/>
    <w:rsid w:val="00877975"/>
    <w:rsid w:val="00880672"/>
    <w:rsid w:val="00880758"/>
    <w:rsid w:val="008808A2"/>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9F1"/>
    <w:rsid w:val="00887CC1"/>
    <w:rsid w:val="00887D0A"/>
    <w:rsid w:val="0089049E"/>
    <w:rsid w:val="00890838"/>
    <w:rsid w:val="0089091A"/>
    <w:rsid w:val="00891463"/>
    <w:rsid w:val="00891CB9"/>
    <w:rsid w:val="00891CBC"/>
    <w:rsid w:val="00891FB0"/>
    <w:rsid w:val="0089215E"/>
    <w:rsid w:val="008923D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34A"/>
    <w:rsid w:val="008A13F1"/>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F1E"/>
    <w:rsid w:val="008A615E"/>
    <w:rsid w:val="008A6926"/>
    <w:rsid w:val="008A6A68"/>
    <w:rsid w:val="008A6A80"/>
    <w:rsid w:val="008A6C80"/>
    <w:rsid w:val="008A7031"/>
    <w:rsid w:val="008A759D"/>
    <w:rsid w:val="008A79F0"/>
    <w:rsid w:val="008A7C31"/>
    <w:rsid w:val="008B035B"/>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950"/>
    <w:rsid w:val="008B5BFA"/>
    <w:rsid w:val="008B61AB"/>
    <w:rsid w:val="008B6359"/>
    <w:rsid w:val="008B64BF"/>
    <w:rsid w:val="008B658E"/>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D4"/>
    <w:rsid w:val="008C7B4F"/>
    <w:rsid w:val="008C7EC0"/>
    <w:rsid w:val="008D0359"/>
    <w:rsid w:val="008D0497"/>
    <w:rsid w:val="008D0562"/>
    <w:rsid w:val="008D07B8"/>
    <w:rsid w:val="008D0A50"/>
    <w:rsid w:val="008D0C26"/>
    <w:rsid w:val="008D1098"/>
    <w:rsid w:val="008D165F"/>
    <w:rsid w:val="008D19A7"/>
    <w:rsid w:val="008D1C99"/>
    <w:rsid w:val="008D2349"/>
    <w:rsid w:val="008D26CC"/>
    <w:rsid w:val="008D30FD"/>
    <w:rsid w:val="008D3196"/>
    <w:rsid w:val="008D3324"/>
    <w:rsid w:val="008D3406"/>
    <w:rsid w:val="008D3711"/>
    <w:rsid w:val="008D3726"/>
    <w:rsid w:val="008D3D69"/>
    <w:rsid w:val="008D4368"/>
    <w:rsid w:val="008D4A26"/>
    <w:rsid w:val="008D4D17"/>
    <w:rsid w:val="008D4DB0"/>
    <w:rsid w:val="008D53C7"/>
    <w:rsid w:val="008D53EE"/>
    <w:rsid w:val="008D5511"/>
    <w:rsid w:val="008D5930"/>
    <w:rsid w:val="008D5F36"/>
    <w:rsid w:val="008D6084"/>
    <w:rsid w:val="008D63F8"/>
    <w:rsid w:val="008D6611"/>
    <w:rsid w:val="008D6740"/>
    <w:rsid w:val="008D6C26"/>
    <w:rsid w:val="008D6D9B"/>
    <w:rsid w:val="008D6E00"/>
    <w:rsid w:val="008D72E6"/>
    <w:rsid w:val="008D72F7"/>
    <w:rsid w:val="008D7C5A"/>
    <w:rsid w:val="008D7E07"/>
    <w:rsid w:val="008D7E6D"/>
    <w:rsid w:val="008D7F16"/>
    <w:rsid w:val="008E00D0"/>
    <w:rsid w:val="008E023F"/>
    <w:rsid w:val="008E051A"/>
    <w:rsid w:val="008E155C"/>
    <w:rsid w:val="008E15BD"/>
    <w:rsid w:val="008E1A1F"/>
    <w:rsid w:val="008E1A29"/>
    <w:rsid w:val="008E1A64"/>
    <w:rsid w:val="008E1E73"/>
    <w:rsid w:val="008E1ED6"/>
    <w:rsid w:val="008E1FE4"/>
    <w:rsid w:val="008E2797"/>
    <w:rsid w:val="008E2910"/>
    <w:rsid w:val="008E2C0F"/>
    <w:rsid w:val="008E2CCE"/>
    <w:rsid w:val="008E3183"/>
    <w:rsid w:val="008E3389"/>
    <w:rsid w:val="008E3558"/>
    <w:rsid w:val="008E35BF"/>
    <w:rsid w:val="008E3730"/>
    <w:rsid w:val="008E3756"/>
    <w:rsid w:val="008E46FA"/>
    <w:rsid w:val="008E4F42"/>
    <w:rsid w:val="008E55E1"/>
    <w:rsid w:val="008E6A3D"/>
    <w:rsid w:val="008E6B33"/>
    <w:rsid w:val="008E6D8A"/>
    <w:rsid w:val="008E77A1"/>
    <w:rsid w:val="008E78E9"/>
    <w:rsid w:val="008E7C9D"/>
    <w:rsid w:val="008F0554"/>
    <w:rsid w:val="008F06A2"/>
    <w:rsid w:val="008F0A90"/>
    <w:rsid w:val="008F0B33"/>
    <w:rsid w:val="008F0CD7"/>
    <w:rsid w:val="008F0D5D"/>
    <w:rsid w:val="008F10CE"/>
    <w:rsid w:val="008F15EA"/>
    <w:rsid w:val="008F16D5"/>
    <w:rsid w:val="008F257C"/>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6F2F"/>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4E5"/>
    <w:rsid w:val="0090567B"/>
    <w:rsid w:val="00905730"/>
    <w:rsid w:val="00905BEE"/>
    <w:rsid w:val="0090692F"/>
    <w:rsid w:val="00906B2F"/>
    <w:rsid w:val="00906C3D"/>
    <w:rsid w:val="00907749"/>
    <w:rsid w:val="00907A52"/>
    <w:rsid w:val="00910716"/>
    <w:rsid w:val="00910751"/>
    <w:rsid w:val="00910990"/>
    <w:rsid w:val="0091133A"/>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645"/>
    <w:rsid w:val="0091580F"/>
    <w:rsid w:val="009158DF"/>
    <w:rsid w:val="00916382"/>
    <w:rsid w:val="00916905"/>
    <w:rsid w:val="00916BCF"/>
    <w:rsid w:val="0091707E"/>
    <w:rsid w:val="009170D3"/>
    <w:rsid w:val="00917241"/>
    <w:rsid w:val="0091727B"/>
    <w:rsid w:val="0091745D"/>
    <w:rsid w:val="00917B5E"/>
    <w:rsid w:val="00920113"/>
    <w:rsid w:val="009202FF"/>
    <w:rsid w:val="00920F57"/>
    <w:rsid w:val="009213B6"/>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94E"/>
    <w:rsid w:val="00924BB6"/>
    <w:rsid w:val="00924D79"/>
    <w:rsid w:val="00924DFE"/>
    <w:rsid w:val="009255EB"/>
    <w:rsid w:val="00925652"/>
    <w:rsid w:val="00925EA0"/>
    <w:rsid w:val="009260F5"/>
    <w:rsid w:val="00926150"/>
    <w:rsid w:val="00926221"/>
    <w:rsid w:val="00926B1B"/>
    <w:rsid w:val="00927A7F"/>
    <w:rsid w:val="00927C36"/>
    <w:rsid w:val="00930297"/>
    <w:rsid w:val="00930413"/>
    <w:rsid w:val="009304ED"/>
    <w:rsid w:val="0093064D"/>
    <w:rsid w:val="009307B8"/>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6CC"/>
    <w:rsid w:val="00935830"/>
    <w:rsid w:val="00935A91"/>
    <w:rsid w:val="00935AA8"/>
    <w:rsid w:val="009363B5"/>
    <w:rsid w:val="00936592"/>
    <w:rsid w:val="009368A6"/>
    <w:rsid w:val="00936A6C"/>
    <w:rsid w:val="00936BF1"/>
    <w:rsid w:val="009372FC"/>
    <w:rsid w:val="0093741E"/>
    <w:rsid w:val="009376D1"/>
    <w:rsid w:val="0094004F"/>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E9D"/>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A1"/>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1BD"/>
    <w:rsid w:val="00966A50"/>
    <w:rsid w:val="00966CA6"/>
    <w:rsid w:val="00966ED7"/>
    <w:rsid w:val="00967ADB"/>
    <w:rsid w:val="00967CBE"/>
    <w:rsid w:val="0097010A"/>
    <w:rsid w:val="009706D4"/>
    <w:rsid w:val="00970B6A"/>
    <w:rsid w:val="00970CC4"/>
    <w:rsid w:val="00970D7B"/>
    <w:rsid w:val="0097275D"/>
    <w:rsid w:val="00972956"/>
    <w:rsid w:val="00972B1E"/>
    <w:rsid w:val="00972B93"/>
    <w:rsid w:val="00972C5B"/>
    <w:rsid w:val="00972F49"/>
    <w:rsid w:val="00973700"/>
    <w:rsid w:val="00973960"/>
    <w:rsid w:val="00973C50"/>
    <w:rsid w:val="00974E60"/>
    <w:rsid w:val="0097539B"/>
    <w:rsid w:val="00975C91"/>
    <w:rsid w:val="00975D72"/>
    <w:rsid w:val="00976B89"/>
    <w:rsid w:val="00977318"/>
    <w:rsid w:val="0097757C"/>
    <w:rsid w:val="00977FB6"/>
    <w:rsid w:val="0098053B"/>
    <w:rsid w:val="009807C6"/>
    <w:rsid w:val="00980ACA"/>
    <w:rsid w:val="00980F14"/>
    <w:rsid w:val="0098125C"/>
    <w:rsid w:val="0098146B"/>
    <w:rsid w:val="00981877"/>
    <w:rsid w:val="00982725"/>
    <w:rsid w:val="009828BD"/>
    <w:rsid w:val="009829FD"/>
    <w:rsid w:val="00982A6F"/>
    <w:rsid w:val="00982F90"/>
    <w:rsid w:val="0098355F"/>
    <w:rsid w:val="00983984"/>
    <w:rsid w:val="00983BA8"/>
    <w:rsid w:val="00983C3B"/>
    <w:rsid w:val="00984971"/>
    <w:rsid w:val="00984DC5"/>
    <w:rsid w:val="00984DFF"/>
    <w:rsid w:val="0098555E"/>
    <w:rsid w:val="009856E1"/>
    <w:rsid w:val="009857FB"/>
    <w:rsid w:val="009860C0"/>
    <w:rsid w:val="00986423"/>
    <w:rsid w:val="00986472"/>
    <w:rsid w:val="009866B2"/>
    <w:rsid w:val="00986D0E"/>
    <w:rsid w:val="00986E15"/>
    <w:rsid w:val="009871C5"/>
    <w:rsid w:val="00987366"/>
    <w:rsid w:val="0098742C"/>
    <w:rsid w:val="0098765F"/>
    <w:rsid w:val="00987688"/>
    <w:rsid w:val="0098774A"/>
    <w:rsid w:val="00987A47"/>
    <w:rsid w:val="00987C20"/>
    <w:rsid w:val="00987DFA"/>
    <w:rsid w:val="009900E6"/>
    <w:rsid w:val="00990B6D"/>
    <w:rsid w:val="00990DDE"/>
    <w:rsid w:val="00990E41"/>
    <w:rsid w:val="00991123"/>
    <w:rsid w:val="0099117B"/>
    <w:rsid w:val="00991550"/>
    <w:rsid w:val="0099181B"/>
    <w:rsid w:val="00992DDC"/>
    <w:rsid w:val="00993756"/>
    <w:rsid w:val="00993ACA"/>
    <w:rsid w:val="00993DAE"/>
    <w:rsid w:val="009942BA"/>
    <w:rsid w:val="0099448E"/>
    <w:rsid w:val="0099462D"/>
    <w:rsid w:val="00994EAF"/>
    <w:rsid w:val="00995139"/>
    <w:rsid w:val="009953FE"/>
    <w:rsid w:val="009959E3"/>
    <w:rsid w:val="0099603B"/>
    <w:rsid w:val="0099633F"/>
    <w:rsid w:val="00996446"/>
    <w:rsid w:val="009965EF"/>
    <w:rsid w:val="00996FB0"/>
    <w:rsid w:val="00997040"/>
    <w:rsid w:val="0099721E"/>
    <w:rsid w:val="00997271"/>
    <w:rsid w:val="00997461"/>
    <w:rsid w:val="00997871"/>
    <w:rsid w:val="00997A4A"/>
    <w:rsid w:val="009A0324"/>
    <w:rsid w:val="009A0B18"/>
    <w:rsid w:val="009A0B30"/>
    <w:rsid w:val="009A0B77"/>
    <w:rsid w:val="009A0FBA"/>
    <w:rsid w:val="009A1653"/>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D1C"/>
    <w:rsid w:val="009B0580"/>
    <w:rsid w:val="009B0701"/>
    <w:rsid w:val="009B0714"/>
    <w:rsid w:val="009B0ED2"/>
    <w:rsid w:val="009B0F52"/>
    <w:rsid w:val="009B0F6A"/>
    <w:rsid w:val="009B129D"/>
    <w:rsid w:val="009B1335"/>
    <w:rsid w:val="009B14D7"/>
    <w:rsid w:val="009B1665"/>
    <w:rsid w:val="009B18A0"/>
    <w:rsid w:val="009B241F"/>
    <w:rsid w:val="009B248F"/>
    <w:rsid w:val="009B27B5"/>
    <w:rsid w:val="009B2F10"/>
    <w:rsid w:val="009B31D6"/>
    <w:rsid w:val="009B385E"/>
    <w:rsid w:val="009B3AE9"/>
    <w:rsid w:val="009B4456"/>
    <w:rsid w:val="009B4E07"/>
    <w:rsid w:val="009B528B"/>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78"/>
    <w:rsid w:val="009C379A"/>
    <w:rsid w:val="009C37C7"/>
    <w:rsid w:val="009C38A5"/>
    <w:rsid w:val="009C3936"/>
    <w:rsid w:val="009C473C"/>
    <w:rsid w:val="009C4A43"/>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5E2"/>
    <w:rsid w:val="009E0728"/>
    <w:rsid w:val="009E0B37"/>
    <w:rsid w:val="009E0BF0"/>
    <w:rsid w:val="009E0C93"/>
    <w:rsid w:val="009E0F8F"/>
    <w:rsid w:val="009E1066"/>
    <w:rsid w:val="009E13CC"/>
    <w:rsid w:val="009E13E5"/>
    <w:rsid w:val="009E1853"/>
    <w:rsid w:val="009E1CCF"/>
    <w:rsid w:val="009E1EAC"/>
    <w:rsid w:val="009E2E04"/>
    <w:rsid w:val="009E2E2B"/>
    <w:rsid w:val="009E2F3B"/>
    <w:rsid w:val="009E3169"/>
    <w:rsid w:val="009E3419"/>
    <w:rsid w:val="009E3528"/>
    <w:rsid w:val="009E3B07"/>
    <w:rsid w:val="009E3BBC"/>
    <w:rsid w:val="009E3C3B"/>
    <w:rsid w:val="009E4848"/>
    <w:rsid w:val="009E4D3F"/>
    <w:rsid w:val="009E4F96"/>
    <w:rsid w:val="009E520E"/>
    <w:rsid w:val="009E54A0"/>
    <w:rsid w:val="009E5513"/>
    <w:rsid w:val="009E5A1A"/>
    <w:rsid w:val="009E5D41"/>
    <w:rsid w:val="009E62FA"/>
    <w:rsid w:val="009E6606"/>
    <w:rsid w:val="009E681A"/>
    <w:rsid w:val="009E6F7C"/>
    <w:rsid w:val="009E7150"/>
    <w:rsid w:val="009E765C"/>
    <w:rsid w:val="009E76AC"/>
    <w:rsid w:val="009E775C"/>
    <w:rsid w:val="009E77D2"/>
    <w:rsid w:val="009F0547"/>
    <w:rsid w:val="009F08E5"/>
    <w:rsid w:val="009F0F39"/>
    <w:rsid w:val="009F0F8C"/>
    <w:rsid w:val="009F1136"/>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3EC8"/>
    <w:rsid w:val="009F40DE"/>
    <w:rsid w:val="009F4174"/>
    <w:rsid w:val="009F4633"/>
    <w:rsid w:val="009F4904"/>
    <w:rsid w:val="009F4EA8"/>
    <w:rsid w:val="009F55AF"/>
    <w:rsid w:val="009F5AD9"/>
    <w:rsid w:val="009F5CF0"/>
    <w:rsid w:val="009F5E97"/>
    <w:rsid w:val="009F61A9"/>
    <w:rsid w:val="009F68BB"/>
    <w:rsid w:val="009F6F55"/>
    <w:rsid w:val="009F71DE"/>
    <w:rsid w:val="009F7316"/>
    <w:rsid w:val="009F7423"/>
    <w:rsid w:val="009F7B97"/>
    <w:rsid w:val="00A00531"/>
    <w:rsid w:val="00A014C6"/>
    <w:rsid w:val="00A0166D"/>
    <w:rsid w:val="00A025B3"/>
    <w:rsid w:val="00A0276E"/>
    <w:rsid w:val="00A02793"/>
    <w:rsid w:val="00A028C3"/>
    <w:rsid w:val="00A0310E"/>
    <w:rsid w:val="00A0424C"/>
    <w:rsid w:val="00A049CA"/>
    <w:rsid w:val="00A04A55"/>
    <w:rsid w:val="00A05269"/>
    <w:rsid w:val="00A053CC"/>
    <w:rsid w:val="00A0540D"/>
    <w:rsid w:val="00A05F57"/>
    <w:rsid w:val="00A069AD"/>
    <w:rsid w:val="00A06A21"/>
    <w:rsid w:val="00A06AB1"/>
    <w:rsid w:val="00A06E37"/>
    <w:rsid w:val="00A07034"/>
    <w:rsid w:val="00A07207"/>
    <w:rsid w:val="00A073D7"/>
    <w:rsid w:val="00A07D2D"/>
    <w:rsid w:val="00A07F76"/>
    <w:rsid w:val="00A10084"/>
    <w:rsid w:val="00A10656"/>
    <w:rsid w:val="00A10897"/>
    <w:rsid w:val="00A10C8A"/>
    <w:rsid w:val="00A11C70"/>
    <w:rsid w:val="00A11F87"/>
    <w:rsid w:val="00A124A0"/>
    <w:rsid w:val="00A128AF"/>
    <w:rsid w:val="00A12996"/>
    <w:rsid w:val="00A12A98"/>
    <w:rsid w:val="00A13568"/>
    <w:rsid w:val="00A139AC"/>
    <w:rsid w:val="00A13CE0"/>
    <w:rsid w:val="00A1416B"/>
    <w:rsid w:val="00A142C5"/>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58C"/>
    <w:rsid w:val="00A23597"/>
    <w:rsid w:val="00A2376F"/>
    <w:rsid w:val="00A23D68"/>
    <w:rsid w:val="00A2431B"/>
    <w:rsid w:val="00A246E5"/>
    <w:rsid w:val="00A2472D"/>
    <w:rsid w:val="00A247FD"/>
    <w:rsid w:val="00A24DD7"/>
    <w:rsid w:val="00A24E69"/>
    <w:rsid w:val="00A24F5C"/>
    <w:rsid w:val="00A2512F"/>
    <w:rsid w:val="00A2520C"/>
    <w:rsid w:val="00A253D5"/>
    <w:rsid w:val="00A25844"/>
    <w:rsid w:val="00A25A01"/>
    <w:rsid w:val="00A25B4B"/>
    <w:rsid w:val="00A25E61"/>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D1B"/>
    <w:rsid w:val="00A311E7"/>
    <w:rsid w:val="00A3137B"/>
    <w:rsid w:val="00A31534"/>
    <w:rsid w:val="00A316C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04"/>
    <w:rsid w:val="00A45858"/>
    <w:rsid w:val="00A45D29"/>
    <w:rsid w:val="00A45EA1"/>
    <w:rsid w:val="00A45FF5"/>
    <w:rsid w:val="00A4684E"/>
    <w:rsid w:val="00A469E3"/>
    <w:rsid w:val="00A46D28"/>
    <w:rsid w:val="00A46D59"/>
    <w:rsid w:val="00A472EE"/>
    <w:rsid w:val="00A4778B"/>
    <w:rsid w:val="00A477B0"/>
    <w:rsid w:val="00A479BA"/>
    <w:rsid w:val="00A5011A"/>
    <w:rsid w:val="00A503C6"/>
    <w:rsid w:val="00A504F2"/>
    <w:rsid w:val="00A505EE"/>
    <w:rsid w:val="00A50BC8"/>
    <w:rsid w:val="00A51361"/>
    <w:rsid w:val="00A513DC"/>
    <w:rsid w:val="00A51832"/>
    <w:rsid w:val="00A51872"/>
    <w:rsid w:val="00A51A9F"/>
    <w:rsid w:val="00A52111"/>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57FE3"/>
    <w:rsid w:val="00A60160"/>
    <w:rsid w:val="00A6046E"/>
    <w:rsid w:val="00A60ADB"/>
    <w:rsid w:val="00A60CB7"/>
    <w:rsid w:val="00A613D9"/>
    <w:rsid w:val="00A61413"/>
    <w:rsid w:val="00A61530"/>
    <w:rsid w:val="00A61580"/>
    <w:rsid w:val="00A61787"/>
    <w:rsid w:val="00A61B2C"/>
    <w:rsid w:val="00A61B81"/>
    <w:rsid w:val="00A61DDD"/>
    <w:rsid w:val="00A62811"/>
    <w:rsid w:val="00A62870"/>
    <w:rsid w:val="00A631C8"/>
    <w:rsid w:val="00A63E8C"/>
    <w:rsid w:val="00A63EEE"/>
    <w:rsid w:val="00A64417"/>
    <w:rsid w:val="00A64C9F"/>
    <w:rsid w:val="00A653F3"/>
    <w:rsid w:val="00A665C7"/>
    <w:rsid w:val="00A66C93"/>
    <w:rsid w:val="00A66D04"/>
    <w:rsid w:val="00A66EEC"/>
    <w:rsid w:val="00A66F00"/>
    <w:rsid w:val="00A67702"/>
    <w:rsid w:val="00A67E3F"/>
    <w:rsid w:val="00A67FF8"/>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F79"/>
    <w:rsid w:val="00A75345"/>
    <w:rsid w:val="00A7545C"/>
    <w:rsid w:val="00A754ED"/>
    <w:rsid w:val="00A756AD"/>
    <w:rsid w:val="00A75C7D"/>
    <w:rsid w:val="00A75D28"/>
    <w:rsid w:val="00A7645D"/>
    <w:rsid w:val="00A7655A"/>
    <w:rsid w:val="00A76EC8"/>
    <w:rsid w:val="00A77466"/>
    <w:rsid w:val="00A774B8"/>
    <w:rsid w:val="00A775A3"/>
    <w:rsid w:val="00A77956"/>
    <w:rsid w:val="00A77C0D"/>
    <w:rsid w:val="00A77FED"/>
    <w:rsid w:val="00A8050C"/>
    <w:rsid w:val="00A80817"/>
    <w:rsid w:val="00A809BE"/>
    <w:rsid w:val="00A80B1C"/>
    <w:rsid w:val="00A80E34"/>
    <w:rsid w:val="00A818C4"/>
    <w:rsid w:val="00A81BF1"/>
    <w:rsid w:val="00A822B2"/>
    <w:rsid w:val="00A8262B"/>
    <w:rsid w:val="00A82E32"/>
    <w:rsid w:val="00A82E84"/>
    <w:rsid w:val="00A83326"/>
    <w:rsid w:val="00A83517"/>
    <w:rsid w:val="00A8379A"/>
    <w:rsid w:val="00A83AA9"/>
    <w:rsid w:val="00A83F92"/>
    <w:rsid w:val="00A842B9"/>
    <w:rsid w:val="00A84AB7"/>
    <w:rsid w:val="00A84FBB"/>
    <w:rsid w:val="00A85143"/>
    <w:rsid w:val="00A85F86"/>
    <w:rsid w:val="00A86220"/>
    <w:rsid w:val="00A86289"/>
    <w:rsid w:val="00A8674C"/>
    <w:rsid w:val="00A86B00"/>
    <w:rsid w:val="00A87080"/>
    <w:rsid w:val="00A8747A"/>
    <w:rsid w:val="00A876D0"/>
    <w:rsid w:val="00A8799F"/>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58F"/>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31D"/>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1F8"/>
    <w:rsid w:val="00AA34E3"/>
    <w:rsid w:val="00AA3625"/>
    <w:rsid w:val="00AA3C21"/>
    <w:rsid w:val="00AA3DD9"/>
    <w:rsid w:val="00AA4173"/>
    <w:rsid w:val="00AA4186"/>
    <w:rsid w:val="00AA4306"/>
    <w:rsid w:val="00AA432B"/>
    <w:rsid w:val="00AA43E8"/>
    <w:rsid w:val="00AA44B1"/>
    <w:rsid w:val="00AA4A49"/>
    <w:rsid w:val="00AA4BE4"/>
    <w:rsid w:val="00AA526C"/>
    <w:rsid w:val="00AA55C0"/>
    <w:rsid w:val="00AA58B9"/>
    <w:rsid w:val="00AA63C9"/>
    <w:rsid w:val="00AA68B3"/>
    <w:rsid w:val="00AA6991"/>
    <w:rsid w:val="00AA6C49"/>
    <w:rsid w:val="00AA6C60"/>
    <w:rsid w:val="00AA6C65"/>
    <w:rsid w:val="00AA741E"/>
    <w:rsid w:val="00AA7C65"/>
    <w:rsid w:val="00AA7D10"/>
    <w:rsid w:val="00AB14B9"/>
    <w:rsid w:val="00AB1A1D"/>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FC"/>
    <w:rsid w:val="00AB5C7E"/>
    <w:rsid w:val="00AB62DB"/>
    <w:rsid w:val="00AB644B"/>
    <w:rsid w:val="00AB6775"/>
    <w:rsid w:val="00AB75FC"/>
    <w:rsid w:val="00AB780B"/>
    <w:rsid w:val="00AB7F96"/>
    <w:rsid w:val="00AC0148"/>
    <w:rsid w:val="00AC0287"/>
    <w:rsid w:val="00AC0A16"/>
    <w:rsid w:val="00AC138D"/>
    <w:rsid w:val="00AC17A3"/>
    <w:rsid w:val="00AC19F7"/>
    <w:rsid w:val="00AC1FFA"/>
    <w:rsid w:val="00AC22F9"/>
    <w:rsid w:val="00AC26B5"/>
    <w:rsid w:val="00AC28FE"/>
    <w:rsid w:val="00AC297B"/>
    <w:rsid w:val="00AC3862"/>
    <w:rsid w:val="00AC4123"/>
    <w:rsid w:val="00AC451A"/>
    <w:rsid w:val="00AC478F"/>
    <w:rsid w:val="00AC4C2C"/>
    <w:rsid w:val="00AC4DE1"/>
    <w:rsid w:val="00AC4ECE"/>
    <w:rsid w:val="00AC537D"/>
    <w:rsid w:val="00AC552C"/>
    <w:rsid w:val="00AC5B6A"/>
    <w:rsid w:val="00AC652C"/>
    <w:rsid w:val="00AC6554"/>
    <w:rsid w:val="00AC68D7"/>
    <w:rsid w:val="00AC6B78"/>
    <w:rsid w:val="00AC6D0B"/>
    <w:rsid w:val="00AC6D19"/>
    <w:rsid w:val="00AC70C0"/>
    <w:rsid w:val="00AD02B7"/>
    <w:rsid w:val="00AD03D6"/>
    <w:rsid w:val="00AD0421"/>
    <w:rsid w:val="00AD04F5"/>
    <w:rsid w:val="00AD0593"/>
    <w:rsid w:val="00AD05B0"/>
    <w:rsid w:val="00AD0B66"/>
    <w:rsid w:val="00AD135F"/>
    <w:rsid w:val="00AD1831"/>
    <w:rsid w:val="00AD18EE"/>
    <w:rsid w:val="00AD1E62"/>
    <w:rsid w:val="00AD2747"/>
    <w:rsid w:val="00AD2AC8"/>
    <w:rsid w:val="00AD2C5E"/>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487"/>
    <w:rsid w:val="00AE1B7D"/>
    <w:rsid w:val="00AE1C38"/>
    <w:rsid w:val="00AE2C29"/>
    <w:rsid w:val="00AE2FBA"/>
    <w:rsid w:val="00AE3242"/>
    <w:rsid w:val="00AE3298"/>
    <w:rsid w:val="00AE36B4"/>
    <w:rsid w:val="00AE382A"/>
    <w:rsid w:val="00AE38F7"/>
    <w:rsid w:val="00AE3CF0"/>
    <w:rsid w:val="00AE4098"/>
    <w:rsid w:val="00AE4226"/>
    <w:rsid w:val="00AE4CD3"/>
    <w:rsid w:val="00AE4D4B"/>
    <w:rsid w:val="00AE4F2B"/>
    <w:rsid w:val="00AE53B1"/>
    <w:rsid w:val="00AE5A7C"/>
    <w:rsid w:val="00AE6090"/>
    <w:rsid w:val="00AE615C"/>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8BF"/>
    <w:rsid w:val="00AF1D10"/>
    <w:rsid w:val="00AF1D5E"/>
    <w:rsid w:val="00AF203B"/>
    <w:rsid w:val="00AF2484"/>
    <w:rsid w:val="00AF2BC0"/>
    <w:rsid w:val="00AF2CA0"/>
    <w:rsid w:val="00AF3C95"/>
    <w:rsid w:val="00AF49EA"/>
    <w:rsid w:val="00AF4F20"/>
    <w:rsid w:val="00AF4F66"/>
    <w:rsid w:val="00AF5647"/>
    <w:rsid w:val="00AF56B7"/>
    <w:rsid w:val="00AF5AFE"/>
    <w:rsid w:val="00AF666D"/>
    <w:rsid w:val="00AF6758"/>
    <w:rsid w:val="00AF6804"/>
    <w:rsid w:val="00AF6AA5"/>
    <w:rsid w:val="00AF6AB0"/>
    <w:rsid w:val="00AF6DE2"/>
    <w:rsid w:val="00AF7210"/>
    <w:rsid w:val="00AF72E1"/>
    <w:rsid w:val="00AF7582"/>
    <w:rsid w:val="00AF7968"/>
    <w:rsid w:val="00AF7D3F"/>
    <w:rsid w:val="00B00433"/>
    <w:rsid w:val="00B00AFA"/>
    <w:rsid w:val="00B017D8"/>
    <w:rsid w:val="00B01A56"/>
    <w:rsid w:val="00B01E99"/>
    <w:rsid w:val="00B02271"/>
    <w:rsid w:val="00B025A5"/>
    <w:rsid w:val="00B0383E"/>
    <w:rsid w:val="00B03852"/>
    <w:rsid w:val="00B03B76"/>
    <w:rsid w:val="00B03C53"/>
    <w:rsid w:val="00B03D71"/>
    <w:rsid w:val="00B0490B"/>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C7F"/>
    <w:rsid w:val="00B21FAC"/>
    <w:rsid w:val="00B2231F"/>
    <w:rsid w:val="00B223DF"/>
    <w:rsid w:val="00B22493"/>
    <w:rsid w:val="00B224A8"/>
    <w:rsid w:val="00B229BB"/>
    <w:rsid w:val="00B22C57"/>
    <w:rsid w:val="00B23142"/>
    <w:rsid w:val="00B2360C"/>
    <w:rsid w:val="00B23832"/>
    <w:rsid w:val="00B23EFF"/>
    <w:rsid w:val="00B244B4"/>
    <w:rsid w:val="00B245CF"/>
    <w:rsid w:val="00B24765"/>
    <w:rsid w:val="00B24A1D"/>
    <w:rsid w:val="00B24FBC"/>
    <w:rsid w:val="00B250BF"/>
    <w:rsid w:val="00B25AB2"/>
    <w:rsid w:val="00B26305"/>
    <w:rsid w:val="00B268FE"/>
    <w:rsid w:val="00B26A62"/>
    <w:rsid w:val="00B26AD4"/>
    <w:rsid w:val="00B26D62"/>
    <w:rsid w:val="00B26E98"/>
    <w:rsid w:val="00B26F77"/>
    <w:rsid w:val="00B27011"/>
    <w:rsid w:val="00B270F6"/>
    <w:rsid w:val="00B270FA"/>
    <w:rsid w:val="00B27582"/>
    <w:rsid w:val="00B2767E"/>
    <w:rsid w:val="00B27922"/>
    <w:rsid w:val="00B27A17"/>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ABE"/>
    <w:rsid w:val="00B32C2F"/>
    <w:rsid w:val="00B33139"/>
    <w:rsid w:val="00B336C5"/>
    <w:rsid w:val="00B33B3A"/>
    <w:rsid w:val="00B33CBC"/>
    <w:rsid w:val="00B33D84"/>
    <w:rsid w:val="00B34227"/>
    <w:rsid w:val="00B3429A"/>
    <w:rsid w:val="00B3441B"/>
    <w:rsid w:val="00B3450B"/>
    <w:rsid w:val="00B353BF"/>
    <w:rsid w:val="00B354F3"/>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8E8"/>
    <w:rsid w:val="00B429BA"/>
    <w:rsid w:val="00B42D85"/>
    <w:rsid w:val="00B42E79"/>
    <w:rsid w:val="00B433DE"/>
    <w:rsid w:val="00B4369C"/>
    <w:rsid w:val="00B437BB"/>
    <w:rsid w:val="00B43914"/>
    <w:rsid w:val="00B44444"/>
    <w:rsid w:val="00B44A2B"/>
    <w:rsid w:val="00B4516E"/>
    <w:rsid w:val="00B45389"/>
    <w:rsid w:val="00B457E2"/>
    <w:rsid w:val="00B458C2"/>
    <w:rsid w:val="00B45D22"/>
    <w:rsid w:val="00B4690A"/>
    <w:rsid w:val="00B4712F"/>
    <w:rsid w:val="00B4717F"/>
    <w:rsid w:val="00B4780B"/>
    <w:rsid w:val="00B47AF6"/>
    <w:rsid w:val="00B50C62"/>
    <w:rsid w:val="00B50F32"/>
    <w:rsid w:val="00B512C9"/>
    <w:rsid w:val="00B52051"/>
    <w:rsid w:val="00B5221E"/>
    <w:rsid w:val="00B5248C"/>
    <w:rsid w:val="00B526A3"/>
    <w:rsid w:val="00B52979"/>
    <w:rsid w:val="00B52D73"/>
    <w:rsid w:val="00B53063"/>
    <w:rsid w:val="00B533C7"/>
    <w:rsid w:val="00B5361C"/>
    <w:rsid w:val="00B53682"/>
    <w:rsid w:val="00B538B9"/>
    <w:rsid w:val="00B53EE2"/>
    <w:rsid w:val="00B54457"/>
    <w:rsid w:val="00B54531"/>
    <w:rsid w:val="00B545E0"/>
    <w:rsid w:val="00B547F6"/>
    <w:rsid w:val="00B54FAF"/>
    <w:rsid w:val="00B55189"/>
    <w:rsid w:val="00B55347"/>
    <w:rsid w:val="00B55530"/>
    <w:rsid w:val="00B55A37"/>
    <w:rsid w:val="00B55B3F"/>
    <w:rsid w:val="00B55E1C"/>
    <w:rsid w:val="00B56271"/>
    <w:rsid w:val="00B56676"/>
    <w:rsid w:val="00B56CB8"/>
    <w:rsid w:val="00B56D3B"/>
    <w:rsid w:val="00B56E85"/>
    <w:rsid w:val="00B56FB8"/>
    <w:rsid w:val="00B5740B"/>
    <w:rsid w:val="00B57901"/>
    <w:rsid w:val="00B57B00"/>
    <w:rsid w:val="00B57BDF"/>
    <w:rsid w:val="00B57E69"/>
    <w:rsid w:val="00B601AA"/>
    <w:rsid w:val="00B60C53"/>
    <w:rsid w:val="00B60DC1"/>
    <w:rsid w:val="00B60F9D"/>
    <w:rsid w:val="00B61B16"/>
    <w:rsid w:val="00B61B8F"/>
    <w:rsid w:val="00B61F39"/>
    <w:rsid w:val="00B62003"/>
    <w:rsid w:val="00B62110"/>
    <w:rsid w:val="00B62425"/>
    <w:rsid w:val="00B62BAF"/>
    <w:rsid w:val="00B631FB"/>
    <w:rsid w:val="00B63B96"/>
    <w:rsid w:val="00B63EAB"/>
    <w:rsid w:val="00B63F44"/>
    <w:rsid w:val="00B6404F"/>
    <w:rsid w:val="00B64CD9"/>
    <w:rsid w:val="00B65160"/>
    <w:rsid w:val="00B6549C"/>
    <w:rsid w:val="00B6553F"/>
    <w:rsid w:val="00B6561B"/>
    <w:rsid w:val="00B6566B"/>
    <w:rsid w:val="00B65C8D"/>
    <w:rsid w:val="00B65DA8"/>
    <w:rsid w:val="00B65EFE"/>
    <w:rsid w:val="00B660B6"/>
    <w:rsid w:val="00B66B90"/>
    <w:rsid w:val="00B670BF"/>
    <w:rsid w:val="00B670E1"/>
    <w:rsid w:val="00B674B6"/>
    <w:rsid w:val="00B67A58"/>
    <w:rsid w:val="00B7023B"/>
    <w:rsid w:val="00B702FF"/>
    <w:rsid w:val="00B70401"/>
    <w:rsid w:val="00B70436"/>
    <w:rsid w:val="00B70562"/>
    <w:rsid w:val="00B70D3B"/>
    <w:rsid w:val="00B71320"/>
    <w:rsid w:val="00B7189F"/>
    <w:rsid w:val="00B71A99"/>
    <w:rsid w:val="00B71B3E"/>
    <w:rsid w:val="00B71BB3"/>
    <w:rsid w:val="00B7210F"/>
    <w:rsid w:val="00B72791"/>
    <w:rsid w:val="00B73397"/>
    <w:rsid w:val="00B7377D"/>
    <w:rsid w:val="00B739CC"/>
    <w:rsid w:val="00B740EF"/>
    <w:rsid w:val="00B74861"/>
    <w:rsid w:val="00B74B2A"/>
    <w:rsid w:val="00B74B7C"/>
    <w:rsid w:val="00B75123"/>
    <w:rsid w:val="00B7562B"/>
    <w:rsid w:val="00B75A06"/>
    <w:rsid w:val="00B75B80"/>
    <w:rsid w:val="00B75C14"/>
    <w:rsid w:val="00B75D1F"/>
    <w:rsid w:val="00B76499"/>
    <w:rsid w:val="00B765CC"/>
    <w:rsid w:val="00B76A62"/>
    <w:rsid w:val="00B76FAE"/>
    <w:rsid w:val="00B7732A"/>
    <w:rsid w:val="00B77603"/>
    <w:rsid w:val="00B7796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1D7"/>
    <w:rsid w:val="00B836F9"/>
    <w:rsid w:val="00B83743"/>
    <w:rsid w:val="00B8374F"/>
    <w:rsid w:val="00B83BCF"/>
    <w:rsid w:val="00B83E0A"/>
    <w:rsid w:val="00B8400A"/>
    <w:rsid w:val="00B84849"/>
    <w:rsid w:val="00B84996"/>
    <w:rsid w:val="00B8504C"/>
    <w:rsid w:val="00B85FEE"/>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A97"/>
    <w:rsid w:val="00B95B7D"/>
    <w:rsid w:val="00B95D29"/>
    <w:rsid w:val="00B95D37"/>
    <w:rsid w:val="00B9611C"/>
    <w:rsid w:val="00B966A1"/>
    <w:rsid w:val="00B968D3"/>
    <w:rsid w:val="00B97493"/>
    <w:rsid w:val="00B9762E"/>
    <w:rsid w:val="00B97A26"/>
    <w:rsid w:val="00B97B8F"/>
    <w:rsid w:val="00B97BAB"/>
    <w:rsid w:val="00B97C5F"/>
    <w:rsid w:val="00BA0307"/>
    <w:rsid w:val="00BA049F"/>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68"/>
    <w:rsid w:val="00BA51E6"/>
    <w:rsid w:val="00BA54D2"/>
    <w:rsid w:val="00BA5696"/>
    <w:rsid w:val="00BA581B"/>
    <w:rsid w:val="00BA58A1"/>
    <w:rsid w:val="00BA5D66"/>
    <w:rsid w:val="00BA60A3"/>
    <w:rsid w:val="00BA655E"/>
    <w:rsid w:val="00BA6C2B"/>
    <w:rsid w:val="00BA7507"/>
    <w:rsid w:val="00BA786E"/>
    <w:rsid w:val="00BA7B4C"/>
    <w:rsid w:val="00BB03B6"/>
    <w:rsid w:val="00BB063F"/>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B41"/>
    <w:rsid w:val="00BB2DB2"/>
    <w:rsid w:val="00BB318E"/>
    <w:rsid w:val="00BB31AB"/>
    <w:rsid w:val="00BB35F3"/>
    <w:rsid w:val="00BB369F"/>
    <w:rsid w:val="00BB36B3"/>
    <w:rsid w:val="00BB3C7B"/>
    <w:rsid w:val="00BB3F45"/>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D28"/>
    <w:rsid w:val="00BC1F14"/>
    <w:rsid w:val="00BC2134"/>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7C7"/>
    <w:rsid w:val="00BD59B9"/>
    <w:rsid w:val="00BD59EE"/>
    <w:rsid w:val="00BD5AD4"/>
    <w:rsid w:val="00BD5E7E"/>
    <w:rsid w:val="00BD5F8E"/>
    <w:rsid w:val="00BD5FCA"/>
    <w:rsid w:val="00BD64F1"/>
    <w:rsid w:val="00BD653D"/>
    <w:rsid w:val="00BD6855"/>
    <w:rsid w:val="00BD6CA3"/>
    <w:rsid w:val="00BD6D85"/>
    <w:rsid w:val="00BD6DEA"/>
    <w:rsid w:val="00BD7C73"/>
    <w:rsid w:val="00BE01AD"/>
    <w:rsid w:val="00BE04A5"/>
    <w:rsid w:val="00BE0A86"/>
    <w:rsid w:val="00BE0BE3"/>
    <w:rsid w:val="00BE0BEA"/>
    <w:rsid w:val="00BE1950"/>
    <w:rsid w:val="00BE1A72"/>
    <w:rsid w:val="00BE2571"/>
    <w:rsid w:val="00BE2751"/>
    <w:rsid w:val="00BE2793"/>
    <w:rsid w:val="00BE27D3"/>
    <w:rsid w:val="00BE28AA"/>
    <w:rsid w:val="00BE28E7"/>
    <w:rsid w:val="00BE2E5C"/>
    <w:rsid w:val="00BE3329"/>
    <w:rsid w:val="00BE36CC"/>
    <w:rsid w:val="00BE3813"/>
    <w:rsid w:val="00BE393E"/>
    <w:rsid w:val="00BE3C93"/>
    <w:rsid w:val="00BE3CD3"/>
    <w:rsid w:val="00BE40A6"/>
    <w:rsid w:val="00BE426A"/>
    <w:rsid w:val="00BE4301"/>
    <w:rsid w:val="00BE45CE"/>
    <w:rsid w:val="00BE520A"/>
    <w:rsid w:val="00BE5406"/>
    <w:rsid w:val="00BE59BB"/>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37"/>
    <w:rsid w:val="00BF28C3"/>
    <w:rsid w:val="00BF2B62"/>
    <w:rsid w:val="00BF2BAA"/>
    <w:rsid w:val="00BF2CCE"/>
    <w:rsid w:val="00BF2E18"/>
    <w:rsid w:val="00BF2F5D"/>
    <w:rsid w:val="00BF35B1"/>
    <w:rsid w:val="00BF3903"/>
    <w:rsid w:val="00BF3A0B"/>
    <w:rsid w:val="00BF3BC0"/>
    <w:rsid w:val="00BF3E1E"/>
    <w:rsid w:val="00BF40A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980"/>
    <w:rsid w:val="00C0287D"/>
    <w:rsid w:val="00C03D86"/>
    <w:rsid w:val="00C03DBB"/>
    <w:rsid w:val="00C03E57"/>
    <w:rsid w:val="00C04246"/>
    <w:rsid w:val="00C047B0"/>
    <w:rsid w:val="00C0483E"/>
    <w:rsid w:val="00C04C50"/>
    <w:rsid w:val="00C04DEA"/>
    <w:rsid w:val="00C04EEC"/>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07F68"/>
    <w:rsid w:val="00C101EC"/>
    <w:rsid w:val="00C10568"/>
    <w:rsid w:val="00C1090A"/>
    <w:rsid w:val="00C109A6"/>
    <w:rsid w:val="00C109D1"/>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BA"/>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43B"/>
    <w:rsid w:val="00C359E1"/>
    <w:rsid w:val="00C359F4"/>
    <w:rsid w:val="00C35AC0"/>
    <w:rsid w:val="00C35BCB"/>
    <w:rsid w:val="00C35FAE"/>
    <w:rsid w:val="00C362EF"/>
    <w:rsid w:val="00C363EA"/>
    <w:rsid w:val="00C36605"/>
    <w:rsid w:val="00C36B01"/>
    <w:rsid w:val="00C36BCF"/>
    <w:rsid w:val="00C36C82"/>
    <w:rsid w:val="00C37BB6"/>
    <w:rsid w:val="00C37D0B"/>
    <w:rsid w:val="00C37DBE"/>
    <w:rsid w:val="00C4027A"/>
    <w:rsid w:val="00C4097C"/>
    <w:rsid w:val="00C40BD7"/>
    <w:rsid w:val="00C40EFB"/>
    <w:rsid w:val="00C40FD6"/>
    <w:rsid w:val="00C41864"/>
    <w:rsid w:val="00C41936"/>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50131"/>
    <w:rsid w:val="00C509E0"/>
    <w:rsid w:val="00C50B64"/>
    <w:rsid w:val="00C51011"/>
    <w:rsid w:val="00C51174"/>
    <w:rsid w:val="00C515D3"/>
    <w:rsid w:val="00C51B84"/>
    <w:rsid w:val="00C52067"/>
    <w:rsid w:val="00C52634"/>
    <w:rsid w:val="00C52B31"/>
    <w:rsid w:val="00C5304D"/>
    <w:rsid w:val="00C532A1"/>
    <w:rsid w:val="00C537ED"/>
    <w:rsid w:val="00C53AA8"/>
    <w:rsid w:val="00C540D2"/>
    <w:rsid w:val="00C5431F"/>
    <w:rsid w:val="00C5456C"/>
    <w:rsid w:val="00C54994"/>
    <w:rsid w:val="00C54DE2"/>
    <w:rsid w:val="00C5546B"/>
    <w:rsid w:val="00C557C0"/>
    <w:rsid w:val="00C56020"/>
    <w:rsid w:val="00C565FD"/>
    <w:rsid w:val="00C575DC"/>
    <w:rsid w:val="00C5769A"/>
    <w:rsid w:val="00C579C8"/>
    <w:rsid w:val="00C57C36"/>
    <w:rsid w:val="00C6039F"/>
    <w:rsid w:val="00C60451"/>
    <w:rsid w:val="00C60670"/>
    <w:rsid w:val="00C60737"/>
    <w:rsid w:val="00C61257"/>
    <w:rsid w:val="00C6136E"/>
    <w:rsid w:val="00C617D8"/>
    <w:rsid w:val="00C61968"/>
    <w:rsid w:val="00C61B21"/>
    <w:rsid w:val="00C61B60"/>
    <w:rsid w:val="00C6361D"/>
    <w:rsid w:val="00C63817"/>
    <w:rsid w:val="00C63B82"/>
    <w:rsid w:val="00C63B87"/>
    <w:rsid w:val="00C63BB3"/>
    <w:rsid w:val="00C63C0B"/>
    <w:rsid w:val="00C6414E"/>
    <w:rsid w:val="00C642B6"/>
    <w:rsid w:val="00C6479C"/>
    <w:rsid w:val="00C6479D"/>
    <w:rsid w:val="00C64EA9"/>
    <w:rsid w:val="00C65140"/>
    <w:rsid w:val="00C652F1"/>
    <w:rsid w:val="00C657A6"/>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389"/>
    <w:rsid w:val="00C72D39"/>
    <w:rsid w:val="00C72E75"/>
    <w:rsid w:val="00C734A5"/>
    <w:rsid w:val="00C7376F"/>
    <w:rsid w:val="00C73B96"/>
    <w:rsid w:val="00C73C80"/>
    <w:rsid w:val="00C73DC6"/>
    <w:rsid w:val="00C73FD8"/>
    <w:rsid w:val="00C74860"/>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0FA9"/>
    <w:rsid w:val="00C8378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881"/>
    <w:rsid w:val="00C93AA0"/>
    <w:rsid w:val="00C93B5E"/>
    <w:rsid w:val="00C94090"/>
    <w:rsid w:val="00C943A7"/>
    <w:rsid w:val="00C94437"/>
    <w:rsid w:val="00C949F5"/>
    <w:rsid w:val="00C94FBE"/>
    <w:rsid w:val="00C95433"/>
    <w:rsid w:val="00C955D1"/>
    <w:rsid w:val="00C95AB8"/>
    <w:rsid w:val="00C95F0C"/>
    <w:rsid w:val="00C95FFB"/>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9FC"/>
    <w:rsid w:val="00CA2A66"/>
    <w:rsid w:val="00CA2AD6"/>
    <w:rsid w:val="00CA2FBC"/>
    <w:rsid w:val="00CA3229"/>
    <w:rsid w:val="00CA34F9"/>
    <w:rsid w:val="00CA4545"/>
    <w:rsid w:val="00CA4702"/>
    <w:rsid w:val="00CA4884"/>
    <w:rsid w:val="00CA59B8"/>
    <w:rsid w:val="00CA6653"/>
    <w:rsid w:val="00CA66D1"/>
    <w:rsid w:val="00CA6EE9"/>
    <w:rsid w:val="00CA77E7"/>
    <w:rsid w:val="00CA7FBB"/>
    <w:rsid w:val="00CB0480"/>
    <w:rsid w:val="00CB0597"/>
    <w:rsid w:val="00CB0687"/>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231"/>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4F39"/>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7F9"/>
    <w:rsid w:val="00CD1A91"/>
    <w:rsid w:val="00CD1F29"/>
    <w:rsid w:val="00CD2779"/>
    <w:rsid w:val="00CD2BB1"/>
    <w:rsid w:val="00CD2E4B"/>
    <w:rsid w:val="00CD3AB1"/>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D724D"/>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F7A"/>
    <w:rsid w:val="00CE61A8"/>
    <w:rsid w:val="00CE6318"/>
    <w:rsid w:val="00CE6E54"/>
    <w:rsid w:val="00CE6F2A"/>
    <w:rsid w:val="00CE713D"/>
    <w:rsid w:val="00CE7BD0"/>
    <w:rsid w:val="00CE7E48"/>
    <w:rsid w:val="00CE7EDB"/>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4DF"/>
    <w:rsid w:val="00CF57B2"/>
    <w:rsid w:val="00CF5C7A"/>
    <w:rsid w:val="00CF603F"/>
    <w:rsid w:val="00CF67DF"/>
    <w:rsid w:val="00CF68B1"/>
    <w:rsid w:val="00CF6922"/>
    <w:rsid w:val="00CF6C84"/>
    <w:rsid w:val="00CF6D76"/>
    <w:rsid w:val="00CF73A4"/>
    <w:rsid w:val="00CF7747"/>
    <w:rsid w:val="00CF7A36"/>
    <w:rsid w:val="00D00689"/>
    <w:rsid w:val="00D006FE"/>
    <w:rsid w:val="00D00C59"/>
    <w:rsid w:val="00D0103D"/>
    <w:rsid w:val="00D0138C"/>
    <w:rsid w:val="00D01545"/>
    <w:rsid w:val="00D01806"/>
    <w:rsid w:val="00D018FD"/>
    <w:rsid w:val="00D01AE7"/>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5479"/>
    <w:rsid w:val="00D15D6E"/>
    <w:rsid w:val="00D16623"/>
    <w:rsid w:val="00D16A40"/>
    <w:rsid w:val="00D16D63"/>
    <w:rsid w:val="00D16DC4"/>
    <w:rsid w:val="00D16DEC"/>
    <w:rsid w:val="00D16E03"/>
    <w:rsid w:val="00D1715D"/>
    <w:rsid w:val="00D17372"/>
    <w:rsid w:val="00D175A9"/>
    <w:rsid w:val="00D17673"/>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5E1"/>
    <w:rsid w:val="00D25604"/>
    <w:rsid w:val="00D25B8C"/>
    <w:rsid w:val="00D26532"/>
    <w:rsid w:val="00D26691"/>
    <w:rsid w:val="00D26E73"/>
    <w:rsid w:val="00D26FC2"/>
    <w:rsid w:val="00D270B3"/>
    <w:rsid w:val="00D27135"/>
    <w:rsid w:val="00D2725B"/>
    <w:rsid w:val="00D27C4E"/>
    <w:rsid w:val="00D30DFC"/>
    <w:rsid w:val="00D31168"/>
    <w:rsid w:val="00D314D8"/>
    <w:rsid w:val="00D316D4"/>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320"/>
    <w:rsid w:val="00D42E52"/>
    <w:rsid w:val="00D43AC8"/>
    <w:rsid w:val="00D43C10"/>
    <w:rsid w:val="00D43D05"/>
    <w:rsid w:val="00D44334"/>
    <w:rsid w:val="00D4447C"/>
    <w:rsid w:val="00D44859"/>
    <w:rsid w:val="00D44C91"/>
    <w:rsid w:val="00D456E2"/>
    <w:rsid w:val="00D45A41"/>
    <w:rsid w:val="00D45ADC"/>
    <w:rsid w:val="00D45E72"/>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DBF"/>
    <w:rsid w:val="00D5556B"/>
    <w:rsid w:val="00D5560F"/>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1"/>
    <w:rsid w:val="00D6249A"/>
    <w:rsid w:val="00D62C04"/>
    <w:rsid w:val="00D6301D"/>
    <w:rsid w:val="00D632E4"/>
    <w:rsid w:val="00D63416"/>
    <w:rsid w:val="00D63796"/>
    <w:rsid w:val="00D639B5"/>
    <w:rsid w:val="00D63A6C"/>
    <w:rsid w:val="00D63D48"/>
    <w:rsid w:val="00D63DE6"/>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4CA"/>
    <w:rsid w:val="00D72A3E"/>
    <w:rsid w:val="00D72BC8"/>
    <w:rsid w:val="00D72D57"/>
    <w:rsid w:val="00D7356A"/>
    <w:rsid w:val="00D735DF"/>
    <w:rsid w:val="00D73A5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86"/>
    <w:rsid w:val="00D87A96"/>
    <w:rsid w:val="00D87E3C"/>
    <w:rsid w:val="00D9006A"/>
    <w:rsid w:val="00D901A5"/>
    <w:rsid w:val="00D901FD"/>
    <w:rsid w:val="00D902A0"/>
    <w:rsid w:val="00D902DD"/>
    <w:rsid w:val="00D9044A"/>
    <w:rsid w:val="00D904EC"/>
    <w:rsid w:val="00D907D7"/>
    <w:rsid w:val="00D90A83"/>
    <w:rsid w:val="00D90BFB"/>
    <w:rsid w:val="00D910FE"/>
    <w:rsid w:val="00D913F6"/>
    <w:rsid w:val="00D9150D"/>
    <w:rsid w:val="00D91CEB"/>
    <w:rsid w:val="00D91F7E"/>
    <w:rsid w:val="00D9209C"/>
    <w:rsid w:val="00D920D6"/>
    <w:rsid w:val="00D921BE"/>
    <w:rsid w:val="00D92719"/>
    <w:rsid w:val="00D92B1C"/>
    <w:rsid w:val="00D931C3"/>
    <w:rsid w:val="00D93CC6"/>
    <w:rsid w:val="00D93E1C"/>
    <w:rsid w:val="00D943AD"/>
    <w:rsid w:val="00D94F7E"/>
    <w:rsid w:val="00D9517F"/>
    <w:rsid w:val="00D95B90"/>
    <w:rsid w:val="00D964A6"/>
    <w:rsid w:val="00D972DF"/>
    <w:rsid w:val="00D9746A"/>
    <w:rsid w:val="00D97B01"/>
    <w:rsid w:val="00D97C41"/>
    <w:rsid w:val="00DA0378"/>
    <w:rsid w:val="00DA0680"/>
    <w:rsid w:val="00DA07B0"/>
    <w:rsid w:val="00DA09FE"/>
    <w:rsid w:val="00DA0D82"/>
    <w:rsid w:val="00DA0F6A"/>
    <w:rsid w:val="00DA1542"/>
    <w:rsid w:val="00DA172A"/>
    <w:rsid w:val="00DA1753"/>
    <w:rsid w:val="00DA1C95"/>
    <w:rsid w:val="00DA1E66"/>
    <w:rsid w:val="00DA1F6B"/>
    <w:rsid w:val="00DA1F8E"/>
    <w:rsid w:val="00DA2779"/>
    <w:rsid w:val="00DA2863"/>
    <w:rsid w:val="00DA2A2F"/>
    <w:rsid w:val="00DA2BA1"/>
    <w:rsid w:val="00DA2D38"/>
    <w:rsid w:val="00DA41DF"/>
    <w:rsid w:val="00DA42A8"/>
    <w:rsid w:val="00DA4758"/>
    <w:rsid w:val="00DA49C5"/>
    <w:rsid w:val="00DA4A20"/>
    <w:rsid w:val="00DA4F0F"/>
    <w:rsid w:val="00DA5902"/>
    <w:rsid w:val="00DA6459"/>
    <w:rsid w:val="00DA64FC"/>
    <w:rsid w:val="00DA6961"/>
    <w:rsid w:val="00DA6A1D"/>
    <w:rsid w:val="00DA6F2A"/>
    <w:rsid w:val="00DA6FA7"/>
    <w:rsid w:val="00DA70A2"/>
    <w:rsid w:val="00DA75D8"/>
    <w:rsid w:val="00DA7A4B"/>
    <w:rsid w:val="00DA7ACC"/>
    <w:rsid w:val="00DB04ED"/>
    <w:rsid w:val="00DB0F93"/>
    <w:rsid w:val="00DB17F5"/>
    <w:rsid w:val="00DB19B1"/>
    <w:rsid w:val="00DB230F"/>
    <w:rsid w:val="00DB278D"/>
    <w:rsid w:val="00DB2A8D"/>
    <w:rsid w:val="00DB2AD1"/>
    <w:rsid w:val="00DB2F5C"/>
    <w:rsid w:val="00DB38A0"/>
    <w:rsid w:val="00DB3C59"/>
    <w:rsid w:val="00DB3CBC"/>
    <w:rsid w:val="00DB4162"/>
    <w:rsid w:val="00DB49DB"/>
    <w:rsid w:val="00DB49DE"/>
    <w:rsid w:val="00DB4BD2"/>
    <w:rsid w:val="00DB4EA5"/>
    <w:rsid w:val="00DB571D"/>
    <w:rsid w:val="00DB59FD"/>
    <w:rsid w:val="00DB5A9B"/>
    <w:rsid w:val="00DB5C10"/>
    <w:rsid w:val="00DB60EF"/>
    <w:rsid w:val="00DB62AD"/>
    <w:rsid w:val="00DB6631"/>
    <w:rsid w:val="00DB67A2"/>
    <w:rsid w:val="00DB690A"/>
    <w:rsid w:val="00DB6E34"/>
    <w:rsid w:val="00DB768E"/>
    <w:rsid w:val="00DB79E5"/>
    <w:rsid w:val="00DB7B81"/>
    <w:rsid w:val="00DB7BC4"/>
    <w:rsid w:val="00DC02B2"/>
    <w:rsid w:val="00DC04E1"/>
    <w:rsid w:val="00DC12E8"/>
    <w:rsid w:val="00DC1A8B"/>
    <w:rsid w:val="00DC1D59"/>
    <w:rsid w:val="00DC206C"/>
    <w:rsid w:val="00DC228D"/>
    <w:rsid w:val="00DC2482"/>
    <w:rsid w:val="00DC27A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D5A"/>
    <w:rsid w:val="00DC50C6"/>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A1D"/>
    <w:rsid w:val="00DD2BEA"/>
    <w:rsid w:val="00DD2D60"/>
    <w:rsid w:val="00DD3022"/>
    <w:rsid w:val="00DD319B"/>
    <w:rsid w:val="00DD3361"/>
    <w:rsid w:val="00DD37D5"/>
    <w:rsid w:val="00DD3860"/>
    <w:rsid w:val="00DD38FB"/>
    <w:rsid w:val="00DD397F"/>
    <w:rsid w:val="00DD3D5C"/>
    <w:rsid w:val="00DD4200"/>
    <w:rsid w:val="00DD46DD"/>
    <w:rsid w:val="00DD47D8"/>
    <w:rsid w:val="00DD482D"/>
    <w:rsid w:val="00DD4A1D"/>
    <w:rsid w:val="00DD54FD"/>
    <w:rsid w:val="00DD5A6E"/>
    <w:rsid w:val="00DD5C06"/>
    <w:rsid w:val="00DD5D1D"/>
    <w:rsid w:val="00DD5DD0"/>
    <w:rsid w:val="00DD63FD"/>
    <w:rsid w:val="00DD687B"/>
    <w:rsid w:val="00DD6ACB"/>
    <w:rsid w:val="00DD6E3B"/>
    <w:rsid w:val="00DD70A7"/>
    <w:rsid w:val="00DD7238"/>
    <w:rsid w:val="00DD735B"/>
    <w:rsid w:val="00DD75DF"/>
    <w:rsid w:val="00DD7833"/>
    <w:rsid w:val="00DE03C3"/>
    <w:rsid w:val="00DE07DE"/>
    <w:rsid w:val="00DE0987"/>
    <w:rsid w:val="00DE09EA"/>
    <w:rsid w:val="00DE0C26"/>
    <w:rsid w:val="00DE0E1F"/>
    <w:rsid w:val="00DE14DB"/>
    <w:rsid w:val="00DE1BB0"/>
    <w:rsid w:val="00DE20CE"/>
    <w:rsid w:val="00DE2594"/>
    <w:rsid w:val="00DE27B9"/>
    <w:rsid w:val="00DE291C"/>
    <w:rsid w:val="00DE31B5"/>
    <w:rsid w:val="00DE3281"/>
    <w:rsid w:val="00DE32BD"/>
    <w:rsid w:val="00DE4C6A"/>
    <w:rsid w:val="00DE4F04"/>
    <w:rsid w:val="00DE522B"/>
    <w:rsid w:val="00DE5C5D"/>
    <w:rsid w:val="00DE710A"/>
    <w:rsid w:val="00DE7307"/>
    <w:rsid w:val="00DE79CA"/>
    <w:rsid w:val="00DE7F6D"/>
    <w:rsid w:val="00DE7FEC"/>
    <w:rsid w:val="00DF04F9"/>
    <w:rsid w:val="00DF0B12"/>
    <w:rsid w:val="00DF0C0A"/>
    <w:rsid w:val="00DF11CA"/>
    <w:rsid w:val="00DF1784"/>
    <w:rsid w:val="00DF1853"/>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4E6A"/>
    <w:rsid w:val="00DF52EB"/>
    <w:rsid w:val="00DF5489"/>
    <w:rsid w:val="00DF54C2"/>
    <w:rsid w:val="00DF5538"/>
    <w:rsid w:val="00DF58D4"/>
    <w:rsid w:val="00DF5DCE"/>
    <w:rsid w:val="00DF5FCB"/>
    <w:rsid w:val="00DF6361"/>
    <w:rsid w:val="00DF67BA"/>
    <w:rsid w:val="00DF68B6"/>
    <w:rsid w:val="00DF7419"/>
    <w:rsid w:val="00DF7628"/>
    <w:rsid w:val="00DF7CB7"/>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28C"/>
    <w:rsid w:val="00E07792"/>
    <w:rsid w:val="00E0783E"/>
    <w:rsid w:val="00E07915"/>
    <w:rsid w:val="00E105A0"/>
    <w:rsid w:val="00E10607"/>
    <w:rsid w:val="00E10B17"/>
    <w:rsid w:val="00E10B2C"/>
    <w:rsid w:val="00E10F3E"/>
    <w:rsid w:val="00E1127C"/>
    <w:rsid w:val="00E11351"/>
    <w:rsid w:val="00E11BCD"/>
    <w:rsid w:val="00E11F35"/>
    <w:rsid w:val="00E12115"/>
    <w:rsid w:val="00E122D6"/>
    <w:rsid w:val="00E12340"/>
    <w:rsid w:val="00E1279C"/>
    <w:rsid w:val="00E12B0D"/>
    <w:rsid w:val="00E12E8A"/>
    <w:rsid w:val="00E132A2"/>
    <w:rsid w:val="00E135E3"/>
    <w:rsid w:val="00E140DB"/>
    <w:rsid w:val="00E14410"/>
    <w:rsid w:val="00E14B94"/>
    <w:rsid w:val="00E1547E"/>
    <w:rsid w:val="00E15852"/>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4C3"/>
    <w:rsid w:val="00E20680"/>
    <w:rsid w:val="00E2095C"/>
    <w:rsid w:val="00E20C81"/>
    <w:rsid w:val="00E21688"/>
    <w:rsid w:val="00E22111"/>
    <w:rsid w:val="00E222FC"/>
    <w:rsid w:val="00E223D9"/>
    <w:rsid w:val="00E22CB9"/>
    <w:rsid w:val="00E22F11"/>
    <w:rsid w:val="00E23746"/>
    <w:rsid w:val="00E23800"/>
    <w:rsid w:val="00E23BEA"/>
    <w:rsid w:val="00E24147"/>
    <w:rsid w:val="00E247B4"/>
    <w:rsid w:val="00E2492F"/>
    <w:rsid w:val="00E24F33"/>
    <w:rsid w:val="00E251A2"/>
    <w:rsid w:val="00E25286"/>
    <w:rsid w:val="00E254E5"/>
    <w:rsid w:val="00E254F5"/>
    <w:rsid w:val="00E25896"/>
    <w:rsid w:val="00E25B36"/>
    <w:rsid w:val="00E25BCE"/>
    <w:rsid w:val="00E269D3"/>
    <w:rsid w:val="00E26A34"/>
    <w:rsid w:val="00E26E66"/>
    <w:rsid w:val="00E27A00"/>
    <w:rsid w:val="00E27A19"/>
    <w:rsid w:val="00E27CF0"/>
    <w:rsid w:val="00E27F2C"/>
    <w:rsid w:val="00E301D1"/>
    <w:rsid w:val="00E3046A"/>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2D6"/>
    <w:rsid w:val="00E37602"/>
    <w:rsid w:val="00E37C0C"/>
    <w:rsid w:val="00E404E9"/>
    <w:rsid w:val="00E4061B"/>
    <w:rsid w:val="00E40C05"/>
    <w:rsid w:val="00E40C6C"/>
    <w:rsid w:val="00E410D6"/>
    <w:rsid w:val="00E417BC"/>
    <w:rsid w:val="00E41A79"/>
    <w:rsid w:val="00E41F95"/>
    <w:rsid w:val="00E426DA"/>
    <w:rsid w:val="00E4281C"/>
    <w:rsid w:val="00E42B3B"/>
    <w:rsid w:val="00E42C94"/>
    <w:rsid w:val="00E42F6E"/>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47EB9"/>
    <w:rsid w:val="00E50111"/>
    <w:rsid w:val="00E506E9"/>
    <w:rsid w:val="00E50CB1"/>
    <w:rsid w:val="00E513DD"/>
    <w:rsid w:val="00E5145C"/>
    <w:rsid w:val="00E514AA"/>
    <w:rsid w:val="00E5164B"/>
    <w:rsid w:val="00E516F2"/>
    <w:rsid w:val="00E51954"/>
    <w:rsid w:val="00E51A6C"/>
    <w:rsid w:val="00E52159"/>
    <w:rsid w:val="00E52360"/>
    <w:rsid w:val="00E52857"/>
    <w:rsid w:val="00E5396F"/>
    <w:rsid w:val="00E53C6F"/>
    <w:rsid w:val="00E542B6"/>
    <w:rsid w:val="00E546E4"/>
    <w:rsid w:val="00E54971"/>
    <w:rsid w:val="00E549B0"/>
    <w:rsid w:val="00E54CA9"/>
    <w:rsid w:val="00E550C7"/>
    <w:rsid w:val="00E55516"/>
    <w:rsid w:val="00E55F48"/>
    <w:rsid w:val="00E562E6"/>
    <w:rsid w:val="00E56586"/>
    <w:rsid w:val="00E5662B"/>
    <w:rsid w:val="00E56F2C"/>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7CE"/>
    <w:rsid w:val="00E63879"/>
    <w:rsid w:val="00E63EF1"/>
    <w:rsid w:val="00E63F97"/>
    <w:rsid w:val="00E6422A"/>
    <w:rsid w:val="00E644BF"/>
    <w:rsid w:val="00E6468D"/>
    <w:rsid w:val="00E64788"/>
    <w:rsid w:val="00E64B70"/>
    <w:rsid w:val="00E6537D"/>
    <w:rsid w:val="00E65443"/>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1E"/>
    <w:rsid w:val="00E74CBF"/>
    <w:rsid w:val="00E74FC7"/>
    <w:rsid w:val="00E75FFA"/>
    <w:rsid w:val="00E76018"/>
    <w:rsid w:val="00E764C6"/>
    <w:rsid w:val="00E776DD"/>
    <w:rsid w:val="00E77CAE"/>
    <w:rsid w:val="00E77DDD"/>
    <w:rsid w:val="00E8018B"/>
    <w:rsid w:val="00E80430"/>
    <w:rsid w:val="00E8055B"/>
    <w:rsid w:val="00E807E2"/>
    <w:rsid w:val="00E816AF"/>
    <w:rsid w:val="00E81B25"/>
    <w:rsid w:val="00E81C5F"/>
    <w:rsid w:val="00E81D89"/>
    <w:rsid w:val="00E81E6A"/>
    <w:rsid w:val="00E8224D"/>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39C"/>
    <w:rsid w:val="00E87AE8"/>
    <w:rsid w:val="00E87B3F"/>
    <w:rsid w:val="00E90427"/>
    <w:rsid w:val="00E904D3"/>
    <w:rsid w:val="00E90569"/>
    <w:rsid w:val="00E9072E"/>
    <w:rsid w:val="00E908B6"/>
    <w:rsid w:val="00E90AB6"/>
    <w:rsid w:val="00E910FD"/>
    <w:rsid w:val="00E915BF"/>
    <w:rsid w:val="00E9176C"/>
    <w:rsid w:val="00E925DA"/>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8DB"/>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97A"/>
    <w:rsid w:val="00EB4B1A"/>
    <w:rsid w:val="00EB52AF"/>
    <w:rsid w:val="00EB5537"/>
    <w:rsid w:val="00EB5940"/>
    <w:rsid w:val="00EB5F11"/>
    <w:rsid w:val="00EB61ED"/>
    <w:rsid w:val="00EB65AC"/>
    <w:rsid w:val="00EB6610"/>
    <w:rsid w:val="00EB6BC8"/>
    <w:rsid w:val="00EB6F3D"/>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77"/>
    <w:rsid w:val="00EC6B9F"/>
    <w:rsid w:val="00EC77BC"/>
    <w:rsid w:val="00EC7833"/>
    <w:rsid w:val="00EC7A43"/>
    <w:rsid w:val="00EC7AAB"/>
    <w:rsid w:val="00ED00CE"/>
    <w:rsid w:val="00ED09D9"/>
    <w:rsid w:val="00ED0C6B"/>
    <w:rsid w:val="00ED0EAE"/>
    <w:rsid w:val="00ED0F86"/>
    <w:rsid w:val="00ED1197"/>
    <w:rsid w:val="00ED12C1"/>
    <w:rsid w:val="00ED1FE7"/>
    <w:rsid w:val="00ED2356"/>
    <w:rsid w:val="00ED23BA"/>
    <w:rsid w:val="00ED23CD"/>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EFF"/>
    <w:rsid w:val="00ED5F50"/>
    <w:rsid w:val="00ED607E"/>
    <w:rsid w:val="00ED6202"/>
    <w:rsid w:val="00ED635F"/>
    <w:rsid w:val="00ED644A"/>
    <w:rsid w:val="00ED657F"/>
    <w:rsid w:val="00ED6A0C"/>
    <w:rsid w:val="00ED6D45"/>
    <w:rsid w:val="00ED71F7"/>
    <w:rsid w:val="00ED744E"/>
    <w:rsid w:val="00ED750B"/>
    <w:rsid w:val="00ED7CF4"/>
    <w:rsid w:val="00ED7D94"/>
    <w:rsid w:val="00EE081C"/>
    <w:rsid w:val="00EE0BDC"/>
    <w:rsid w:val="00EE0CC9"/>
    <w:rsid w:val="00EE10E5"/>
    <w:rsid w:val="00EE1603"/>
    <w:rsid w:val="00EE1A55"/>
    <w:rsid w:val="00EE2153"/>
    <w:rsid w:val="00EE2D15"/>
    <w:rsid w:val="00EE32D8"/>
    <w:rsid w:val="00EE36B2"/>
    <w:rsid w:val="00EE3A69"/>
    <w:rsid w:val="00EE3D13"/>
    <w:rsid w:val="00EE3D35"/>
    <w:rsid w:val="00EE3EBB"/>
    <w:rsid w:val="00EE4997"/>
    <w:rsid w:val="00EE4AFC"/>
    <w:rsid w:val="00EE5D3F"/>
    <w:rsid w:val="00EE61AD"/>
    <w:rsid w:val="00EE6A67"/>
    <w:rsid w:val="00EE6E5F"/>
    <w:rsid w:val="00EE6EF4"/>
    <w:rsid w:val="00EE77E0"/>
    <w:rsid w:val="00EE782E"/>
    <w:rsid w:val="00EE78DF"/>
    <w:rsid w:val="00EE7909"/>
    <w:rsid w:val="00EE7946"/>
    <w:rsid w:val="00EE7CAB"/>
    <w:rsid w:val="00EF00BE"/>
    <w:rsid w:val="00EF0C8E"/>
    <w:rsid w:val="00EF0D1B"/>
    <w:rsid w:val="00EF0D5E"/>
    <w:rsid w:val="00EF0F35"/>
    <w:rsid w:val="00EF110A"/>
    <w:rsid w:val="00EF123C"/>
    <w:rsid w:val="00EF14F8"/>
    <w:rsid w:val="00EF1BF6"/>
    <w:rsid w:val="00EF202A"/>
    <w:rsid w:val="00EF2E05"/>
    <w:rsid w:val="00EF3458"/>
    <w:rsid w:val="00EF373E"/>
    <w:rsid w:val="00EF3D3F"/>
    <w:rsid w:val="00EF3F56"/>
    <w:rsid w:val="00EF430B"/>
    <w:rsid w:val="00EF460B"/>
    <w:rsid w:val="00EF4942"/>
    <w:rsid w:val="00EF54EF"/>
    <w:rsid w:val="00EF563F"/>
    <w:rsid w:val="00EF56DB"/>
    <w:rsid w:val="00EF56F6"/>
    <w:rsid w:val="00EF5823"/>
    <w:rsid w:val="00EF6341"/>
    <w:rsid w:val="00EF6562"/>
    <w:rsid w:val="00EF682B"/>
    <w:rsid w:val="00EF692B"/>
    <w:rsid w:val="00EF7A5F"/>
    <w:rsid w:val="00F004EB"/>
    <w:rsid w:val="00F00518"/>
    <w:rsid w:val="00F0072E"/>
    <w:rsid w:val="00F009B0"/>
    <w:rsid w:val="00F01211"/>
    <w:rsid w:val="00F016CC"/>
    <w:rsid w:val="00F018EC"/>
    <w:rsid w:val="00F01E57"/>
    <w:rsid w:val="00F01F96"/>
    <w:rsid w:val="00F028E1"/>
    <w:rsid w:val="00F02C1C"/>
    <w:rsid w:val="00F02C33"/>
    <w:rsid w:val="00F02D86"/>
    <w:rsid w:val="00F03856"/>
    <w:rsid w:val="00F038E2"/>
    <w:rsid w:val="00F038F7"/>
    <w:rsid w:val="00F04172"/>
    <w:rsid w:val="00F041AE"/>
    <w:rsid w:val="00F041BD"/>
    <w:rsid w:val="00F04535"/>
    <w:rsid w:val="00F048BD"/>
    <w:rsid w:val="00F04D17"/>
    <w:rsid w:val="00F0567A"/>
    <w:rsid w:val="00F056C8"/>
    <w:rsid w:val="00F05A31"/>
    <w:rsid w:val="00F05C62"/>
    <w:rsid w:val="00F05EE8"/>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738"/>
    <w:rsid w:val="00F11892"/>
    <w:rsid w:val="00F11CCD"/>
    <w:rsid w:val="00F12357"/>
    <w:rsid w:val="00F124C4"/>
    <w:rsid w:val="00F128E3"/>
    <w:rsid w:val="00F12D17"/>
    <w:rsid w:val="00F12FE6"/>
    <w:rsid w:val="00F1306F"/>
    <w:rsid w:val="00F13416"/>
    <w:rsid w:val="00F13590"/>
    <w:rsid w:val="00F13B6C"/>
    <w:rsid w:val="00F13EF6"/>
    <w:rsid w:val="00F13F1F"/>
    <w:rsid w:val="00F14412"/>
    <w:rsid w:val="00F14445"/>
    <w:rsid w:val="00F1473E"/>
    <w:rsid w:val="00F14D67"/>
    <w:rsid w:val="00F14F4B"/>
    <w:rsid w:val="00F153C9"/>
    <w:rsid w:val="00F15553"/>
    <w:rsid w:val="00F15559"/>
    <w:rsid w:val="00F155C7"/>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B0"/>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5BD"/>
    <w:rsid w:val="00F30F65"/>
    <w:rsid w:val="00F31A5B"/>
    <w:rsid w:val="00F31C91"/>
    <w:rsid w:val="00F31D19"/>
    <w:rsid w:val="00F3204F"/>
    <w:rsid w:val="00F32383"/>
    <w:rsid w:val="00F326FA"/>
    <w:rsid w:val="00F327AA"/>
    <w:rsid w:val="00F32DC1"/>
    <w:rsid w:val="00F3304D"/>
    <w:rsid w:val="00F331B8"/>
    <w:rsid w:val="00F331DA"/>
    <w:rsid w:val="00F33227"/>
    <w:rsid w:val="00F33D77"/>
    <w:rsid w:val="00F33DEA"/>
    <w:rsid w:val="00F33E93"/>
    <w:rsid w:val="00F3465B"/>
    <w:rsid w:val="00F34A54"/>
    <w:rsid w:val="00F34EAC"/>
    <w:rsid w:val="00F3523F"/>
    <w:rsid w:val="00F355BE"/>
    <w:rsid w:val="00F35604"/>
    <w:rsid w:val="00F35840"/>
    <w:rsid w:val="00F3585E"/>
    <w:rsid w:val="00F35D9B"/>
    <w:rsid w:val="00F35FDF"/>
    <w:rsid w:val="00F368D7"/>
    <w:rsid w:val="00F36C78"/>
    <w:rsid w:val="00F37493"/>
    <w:rsid w:val="00F375AE"/>
    <w:rsid w:val="00F40403"/>
    <w:rsid w:val="00F40AB4"/>
    <w:rsid w:val="00F41112"/>
    <w:rsid w:val="00F411B4"/>
    <w:rsid w:val="00F41594"/>
    <w:rsid w:val="00F4185B"/>
    <w:rsid w:val="00F418D3"/>
    <w:rsid w:val="00F42107"/>
    <w:rsid w:val="00F4273A"/>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DF5"/>
    <w:rsid w:val="00F55E20"/>
    <w:rsid w:val="00F560C2"/>
    <w:rsid w:val="00F560F9"/>
    <w:rsid w:val="00F56360"/>
    <w:rsid w:val="00F568C1"/>
    <w:rsid w:val="00F569C8"/>
    <w:rsid w:val="00F56C33"/>
    <w:rsid w:val="00F56D14"/>
    <w:rsid w:val="00F56DE0"/>
    <w:rsid w:val="00F56FD2"/>
    <w:rsid w:val="00F57133"/>
    <w:rsid w:val="00F5713F"/>
    <w:rsid w:val="00F5764A"/>
    <w:rsid w:val="00F57931"/>
    <w:rsid w:val="00F60202"/>
    <w:rsid w:val="00F60818"/>
    <w:rsid w:val="00F6092F"/>
    <w:rsid w:val="00F60AB8"/>
    <w:rsid w:val="00F60BCE"/>
    <w:rsid w:val="00F6141B"/>
    <w:rsid w:val="00F6158A"/>
    <w:rsid w:val="00F619F6"/>
    <w:rsid w:val="00F61ADE"/>
    <w:rsid w:val="00F62154"/>
    <w:rsid w:val="00F62FAC"/>
    <w:rsid w:val="00F6308E"/>
    <w:rsid w:val="00F630AA"/>
    <w:rsid w:val="00F63E68"/>
    <w:rsid w:val="00F63EC8"/>
    <w:rsid w:val="00F6440A"/>
    <w:rsid w:val="00F64AC8"/>
    <w:rsid w:val="00F64D45"/>
    <w:rsid w:val="00F64D52"/>
    <w:rsid w:val="00F64F51"/>
    <w:rsid w:val="00F652DA"/>
    <w:rsid w:val="00F65345"/>
    <w:rsid w:val="00F655CD"/>
    <w:rsid w:val="00F658E4"/>
    <w:rsid w:val="00F65936"/>
    <w:rsid w:val="00F659A6"/>
    <w:rsid w:val="00F65C86"/>
    <w:rsid w:val="00F66384"/>
    <w:rsid w:val="00F663C4"/>
    <w:rsid w:val="00F6666A"/>
    <w:rsid w:val="00F667EF"/>
    <w:rsid w:val="00F66E05"/>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201"/>
    <w:rsid w:val="00F733F4"/>
    <w:rsid w:val="00F73B13"/>
    <w:rsid w:val="00F73E79"/>
    <w:rsid w:val="00F73F66"/>
    <w:rsid w:val="00F7456A"/>
    <w:rsid w:val="00F74B84"/>
    <w:rsid w:val="00F74CA7"/>
    <w:rsid w:val="00F74D16"/>
    <w:rsid w:val="00F74E3B"/>
    <w:rsid w:val="00F751BE"/>
    <w:rsid w:val="00F75210"/>
    <w:rsid w:val="00F75223"/>
    <w:rsid w:val="00F75C01"/>
    <w:rsid w:val="00F75E2C"/>
    <w:rsid w:val="00F760EE"/>
    <w:rsid w:val="00F76223"/>
    <w:rsid w:val="00F76B07"/>
    <w:rsid w:val="00F77161"/>
    <w:rsid w:val="00F77596"/>
    <w:rsid w:val="00F7763B"/>
    <w:rsid w:val="00F77896"/>
    <w:rsid w:val="00F77AE0"/>
    <w:rsid w:val="00F77BB3"/>
    <w:rsid w:val="00F77E65"/>
    <w:rsid w:val="00F800B0"/>
    <w:rsid w:val="00F80204"/>
    <w:rsid w:val="00F80770"/>
    <w:rsid w:val="00F8097E"/>
    <w:rsid w:val="00F8149A"/>
    <w:rsid w:val="00F816B7"/>
    <w:rsid w:val="00F8178C"/>
    <w:rsid w:val="00F81C1E"/>
    <w:rsid w:val="00F81E14"/>
    <w:rsid w:val="00F8291D"/>
    <w:rsid w:val="00F83203"/>
    <w:rsid w:val="00F836D5"/>
    <w:rsid w:val="00F83BA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98"/>
    <w:rsid w:val="00F96AB2"/>
    <w:rsid w:val="00F96DC2"/>
    <w:rsid w:val="00F97540"/>
    <w:rsid w:val="00F9777B"/>
    <w:rsid w:val="00F9787B"/>
    <w:rsid w:val="00F979B0"/>
    <w:rsid w:val="00F97FB0"/>
    <w:rsid w:val="00FA0BCC"/>
    <w:rsid w:val="00FA1070"/>
    <w:rsid w:val="00FA107A"/>
    <w:rsid w:val="00FA109F"/>
    <w:rsid w:val="00FA164F"/>
    <w:rsid w:val="00FA165E"/>
    <w:rsid w:val="00FA1ACB"/>
    <w:rsid w:val="00FA1BB5"/>
    <w:rsid w:val="00FA1FDF"/>
    <w:rsid w:val="00FA21F4"/>
    <w:rsid w:val="00FA26F2"/>
    <w:rsid w:val="00FA2F3A"/>
    <w:rsid w:val="00FA2F70"/>
    <w:rsid w:val="00FA304B"/>
    <w:rsid w:val="00FA3214"/>
    <w:rsid w:val="00FA397C"/>
    <w:rsid w:val="00FA3D5B"/>
    <w:rsid w:val="00FA4C7D"/>
    <w:rsid w:val="00FA4D73"/>
    <w:rsid w:val="00FA4E97"/>
    <w:rsid w:val="00FA4ED6"/>
    <w:rsid w:val="00FA4FD7"/>
    <w:rsid w:val="00FA5750"/>
    <w:rsid w:val="00FA5874"/>
    <w:rsid w:val="00FA6476"/>
    <w:rsid w:val="00FA6A95"/>
    <w:rsid w:val="00FA6E13"/>
    <w:rsid w:val="00FA70CC"/>
    <w:rsid w:val="00FA7277"/>
    <w:rsid w:val="00FA7316"/>
    <w:rsid w:val="00FA7339"/>
    <w:rsid w:val="00FA77D4"/>
    <w:rsid w:val="00FA78AE"/>
    <w:rsid w:val="00FA798A"/>
    <w:rsid w:val="00FA7E20"/>
    <w:rsid w:val="00FB0FF2"/>
    <w:rsid w:val="00FB17AF"/>
    <w:rsid w:val="00FB18B5"/>
    <w:rsid w:val="00FB197F"/>
    <w:rsid w:val="00FB2114"/>
    <w:rsid w:val="00FB23DD"/>
    <w:rsid w:val="00FB2830"/>
    <w:rsid w:val="00FB312F"/>
    <w:rsid w:val="00FB35C3"/>
    <w:rsid w:val="00FB409D"/>
    <w:rsid w:val="00FB4272"/>
    <w:rsid w:val="00FB44FD"/>
    <w:rsid w:val="00FB546C"/>
    <w:rsid w:val="00FB580C"/>
    <w:rsid w:val="00FB584F"/>
    <w:rsid w:val="00FB5D61"/>
    <w:rsid w:val="00FB60B4"/>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52D"/>
    <w:rsid w:val="00FC3A0C"/>
    <w:rsid w:val="00FC3AF0"/>
    <w:rsid w:val="00FC3C61"/>
    <w:rsid w:val="00FC3C67"/>
    <w:rsid w:val="00FC3CCA"/>
    <w:rsid w:val="00FC42C3"/>
    <w:rsid w:val="00FC47DE"/>
    <w:rsid w:val="00FC48B4"/>
    <w:rsid w:val="00FC4A9E"/>
    <w:rsid w:val="00FC4DDB"/>
    <w:rsid w:val="00FC51A3"/>
    <w:rsid w:val="00FC5353"/>
    <w:rsid w:val="00FC539A"/>
    <w:rsid w:val="00FC5B09"/>
    <w:rsid w:val="00FC5DF3"/>
    <w:rsid w:val="00FC5F6D"/>
    <w:rsid w:val="00FC6457"/>
    <w:rsid w:val="00FC66C1"/>
    <w:rsid w:val="00FC6703"/>
    <w:rsid w:val="00FC6BA8"/>
    <w:rsid w:val="00FC7248"/>
    <w:rsid w:val="00FC7915"/>
    <w:rsid w:val="00FD003B"/>
    <w:rsid w:val="00FD023E"/>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300"/>
    <w:rsid w:val="00FD76D9"/>
    <w:rsid w:val="00FD78CB"/>
    <w:rsid w:val="00FD7DCF"/>
    <w:rsid w:val="00FD7F1A"/>
    <w:rsid w:val="00FE00DF"/>
    <w:rsid w:val="00FE01E9"/>
    <w:rsid w:val="00FE0683"/>
    <w:rsid w:val="00FE0888"/>
    <w:rsid w:val="00FE0AF7"/>
    <w:rsid w:val="00FE1448"/>
    <w:rsid w:val="00FE1B15"/>
    <w:rsid w:val="00FE203D"/>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7EB"/>
    <w:rsid w:val="00FE6915"/>
    <w:rsid w:val="00FE6E29"/>
    <w:rsid w:val="00FE72AE"/>
    <w:rsid w:val="00FE754F"/>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978"/>
    <w:rsid w:val="00FF4BA5"/>
    <w:rsid w:val="00FF4D59"/>
    <w:rsid w:val="00FF4F4F"/>
    <w:rsid w:val="00FF5169"/>
    <w:rsid w:val="00FF5328"/>
    <w:rsid w:val="00FF5399"/>
    <w:rsid w:val="00FF58A7"/>
    <w:rsid w:val="00FF6A50"/>
    <w:rsid w:val="00FF6D0F"/>
    <w:rsid w:val="00FF74EF"/>
    <w:rsid w:val="00FF75FD"/>
    <w:rsid w:val="00FF77F8"/>
    <w:rsid w:val="00FF786F"/>
    <w:rsid w:val="00FF7DC0"/>
    <w:rsid w:val="01D4A602"/>
    <w:rsid w:val="02ECD308"/>
    <w:rsid w:val="0300FED6"/>
    <w:rsid w:val="0319CC29"/>
    <w:rsid w:val="03976BCB"/>
    <w:rsid w:val="049E4E62"/>
    <w:rsid w:val="04AD7296"/>
    <w:rsid w:val="054025FC"/>
    <w:rsid w:val="064D94E1"/>
    <w:rsid w:val="069F7F55"/>
    <w:rsid w:val="06AA2E67"/>
    <w:rsid w:val="06E1EDA5"/>
    <w:rsid w:val="07D2C85D"/>
    <w:rsid w:val="089B7FED"/>
    <w:rsid w:val="08F1AFBA"/>
    <w:rsid w:val="09170A9D"/>
    <w:rsid w:val="093C40BD"/>
    <w:rsid w:val="09BD23D4"/>
    <w:rsid w:val="0AC9EE02"/>
    <w:rsid w:val="0ADE161F"/>
    <w:rsid w:val="0AEB84C2"/>
    <w:rsid w:val="0C61BB03"/>
    <w:rsid w:val="0CF2020F"/>
    <w:rsid w:val="0D629AE4"/>
    <w:rsid w:val="0D7FA00D"/>
    <w:rsid w:val="0DD72E10"/>
    <w:rsid w:val="0E900F2E"/>
    <w:rsid w:val="0F1CEA52"/>
    <w:rsid w:val="0FC4C5EA"/>
    <w:rsid w:val="10213796"/>
    <w:rsid w:val="1150DFB1"/>
    <w:rsid w:val="11614190"/>
    <w:rsid w:val="123F3625"/>
    <w:rsid w:val="1254E15C"/>
    <w:rsid w:val="12A00DC8"/>
    <w:rsid w:val="138B20FE"/>
    <w:rsid w:val="140522D4"/>
    <w:rsid w:val="141F8406"/>
    <w:rsid w:val="144A24A3"/>
    <w:rsid w:val="158662C0"/>
    <w:rsid w:val="15B97FA0"/>
    <w:rsid w:val="15EC7667"/>
    <w:rsid w:val="15FB34C3"/>
    <w:rsid w:val="164E9091"/>
    <w:rsid w:val="16C614A8"/>
    <w:rsid w:val="17109B3D"/>
    <w:rsid w:val="17599BAD"/>
    <w:rsid w:val="17C1C426"/>
    <w:rsid w:val="18C744FC"/>
    <w:rsid w:val="18DDC092"/>
    <w:rsid w:val="19A18F57"/>
    <w:rsid w:val="19C60FA6"/>
    <w:rsid w:val="19DD7D9D"/>
    <w:rsid w:val="1B90187B"/>
    <w:rsid w:val="1C1FDFF4"/>
    <w:rsid w:val="1C50712B"/>
    <w:rsid w:val="1E20F9C3"/>
    <w:rsid w:val="1E2BD65B"/>
    <w:rsid w:val="1E3D66B8"/>
    <w:rsid w:val="1E7B2C55"/>
    <w:rsid w:val="2051730B"/>
    <w:rsid w:val="209E87F7"/>
    <w:rsid w:val="22031F31"/>
    <w:rsid w:val="23E779C4"/>
    <w:rsid w:val="24C97722"/>
    <w:rsid w:val="2568C64A"/>
    <w:rsid w:val="25C6CA3E"/>
    <w:rsid w:val="26E2F60D"/>
    <w:rsid w:val="2722707D"/>
    <w:rsid w:val="2798BF7E"/>
    <w:rsid w:val="27AECE07"/>
    <w:rsid w:val="2891E612"/>
    <w:rsid w:val="28EDE7B7"/>
    <w:rsid w:val="2914383F"/>
    <w:rsid w:val="29D7AAC8"/>
    <w:rsid w:val="2A615EC1"/>
    <w:rsid w:val="2A96A244"/>
    <w:rsid w:val="2B5DCDED"/>
    <w:rsid w:val="2BB79620"/>
    <w:rsid w:val="2BF20C09"/>
    <w:rsid w:val="2C037919"/>
    <w:rsid w:val="2C1A1622"/>
    <w:rsid w:val="2D2C9D50"/>
    <w:rsid w:val="2DC6BCB3"/>
    <w:rsid w:val="2E10284B"/>
    <w:rsid w:val="2E5039E3"/>
    <w:rsid w:val="2F490010"/>
    <w:rsid w:val="2F496964"/>
    <w:rsid w:val="2FBE9205"/>
    <w:rsid w:val="304CB1B5"/>
    <w:rsid w:val="3060215F"/>
    <w:rsid w:val="326E043A"/>
    <w:rsid w:val="32AF64BC"/>
    <w:rsid w:val="32BFF3AF"/>
    <w:rsid w:val="32CC0482"/>
    <w:rsid w:val="338AED16"/>
    <w:rsid w:val="33CF6EB5"/>
    <w:rsid w:val="33F28C8D"/>
    <w:rsid w:val="342007A0"/>
    <w:rsid w:val="34920328"/>
    <w:rsid w:val="34C47EA1"/>
    <w:rsid w:val="351DC424"/>
    <w:rsid w:val="3541FE1C"/>
    <w:rsid w:val="35D8D4DC"/>
    <w:rsid w:val="3617FF0F"/>
    <w:rsid w:val="3713AE8D"/>
    <w:rsid w:val="3740C5C8"/>
    <w:rsid w:val="3A18F3FD"/>
    <w:rsid w:val="3B5E60C2"/>
    <w:rsid w:val="3CC01280"/>
    <w:rsid w:val="3D94E909"/>
    <w:rsid w:val="3F00D65A"/>
    <w:rsid w:val="3FA00DFE"/>
    <w:rsid w:val="3FD559FD"/>
    <w:rsid w:val="4150D309"/>
    <w:rsid w:val="41870636"/>
    <w:rsid w:val="41DCFFC8"/>
    <w:rsid w:val="41EEED8E"/>
    <w:rsid w:val="41FC0B0A"/>
    <w:rsid w:val="42351D28"/>
    <w:rsid w:val="4298FA43"/>
    <w:rsid w:val="449D8FA5"/>
    <w:rsid w:val="45E04245"/>
    <w:rsid w:val="4683C7CE"/>
    <w:rsid w:val="4857BD28"/>
    <w:rsid w:val="491DC001"/>
    <w:rsid w:val="492C1E04"/>
    <w:rsid w:val="493EBA66"/>
    <w:rsid w:val="4A231C30"/>
    <w:rsid w:val="4B0D54EB"/>
    <w:rsid w:val="4B4E7776"/>
    <w:rsid w:val="4BE8CAA9"/>
    <w:rsid w:val="4C9D6287"/>
    <w:rsid w:val="4D57DB92"/>
    <w:rsid w:val="4DDFD037"/>
    <w:rsid w:val="4F3B0A5F"/>
    <w:rsid w:val="4F8FEF2C"/>
    <w:rsid w:val="5088FB27"/>
    <w:rsid w:val="50D5C8BA"/>
    <w:rsid w:val="517ECA25"/>
    <w:rsid w:val="521A3751"/>
    <w:rsid w:val="529EE66C"/>
    <w:rsid w:val="52A80E9D"/>
    <w:rsid w:val="52AA0805"/>
    <w:rsid w:val="533B1D32"/>
    <w:rsid w:val="53B66E08"/>
    <w:rsid w:val="54381568"/>
    <w:rsid w:val="55222CE4"/>
    <w:rsid w:val="552DA7DD"/>
    <w:rsid w:val="55A01545"/>
    <w:rsid w:val="5623FB09"/>
    <w:rsid w:val="568844FA"/>
    <w:rsid w:val="5770D370"/>
    <w:rsid w:val="57A5CF27"/>
    <w:rsid w:val="57E8560D"/>
    <w:rsid w:val="58449FF8"/>
    <w:rsid w:val="58EFB065"/>
    <w:rsid w:val="5906DE98"/>
    <w:rsid w:val="59BC3B04"/>
    <w:rsid w:val="59EB949A"/>
    <w:rsid w:val="5A522145"/>
    <w:rsid w:val="5B6DE2EF"/>
    <w:rsid w:val="5BE47089"/>
    <w:rsid w:val="5BE4A35A"/>
    <w:rsid w:val="5C205FCA"/>
    <w:rsid w:val="5C45D568"/>
    <w:rsid w:val="5C759650"/>
    <w:rsid w:val="5CADC5B0"/>
    <w:rsid w:val="5D6B060D"/>
    <w:rsid w:val="5DC41CB6"/>
    <w:rsid w:val="5DD24F63"/>
    <w:rsid w:val="5EA1A07F"/>
    <w:rsid w:val="5F660068"/>
    <w:rsid w:val="5F84AD66"/>
    <w:rsid w:val="61115A00"/>
    <w:rsid w:val="6121521A"/>
    <w:rsid w:val="619AFF2E"/>
    <w:rsid w:val="61CDD40B"/>
    <w:rsid w:val="61F8BDCD"/>
    <w:rsid w:val="623E8CD6"/>
    <w:rsid w:val="62792236"/>
    <w:rsid w:val="62B19E88"/>
    <w:rsid w:val="62E5E552"/>
    <w:rsid w:val="63413CF9"/>
    <w:rsid w:val="63E6DCEF"/>
    <w:rsid w:val="662ECDB1"/>
    <w:rsid w:val="679868F5"/>
    <w:rsid w:val="68422229"/>
    <w:rsid w:val="6856477C"/>
    <w:rsid w:val="690208F7"/>
    <w:rsid w:val="698E2D85"/>
    <w:rsid w:val="6C1C033E"/>
    <w:rsid w:val="6C4AB1A5"/>
    <w:rsid w:val="6CD996B6"/>
    <w:rsid w:val="6E9D3E8E"/>
    <w:rsid w:val="6F30A17E"/>
    <w:rsid w:val="6F44B08B"/>
    <w:rsid w:val="6F5421E9"/>
    <w:rsid w:val="6F703B98"/>
    <w:rsid w:val="704BFB89"/>
    <w:rsid w:val="70E080EC"/>
    <w:rsid w:val="70E176EF"/>
    <w:rsid w:val="71454302"/>
    <w:rsid w:val="722511B9"/>
    <w:rsid w:val="72D3634A"/>
    <w:rsid w:val="73180A63"/>
    <w:rsid w:val="7343A71F"/>
    <w:rsid w:val="748B6ADC"/>
    <w:rsid w:val="7501EF37"/>
    <w:rsid w:val="75C67B62"/>
    <w:rsid w:val="768A39A0"/>
    <w:rsid w:val="771E04AE"/>
    <w:rsid w:val="773AFDE2"/>
    <w:rsid w:val="78438563"/>
    <w:rsid w:val="78695C67"/>
    <w:rsid w:val="78B125D4"/>
    <w:rsid w:val="79100C50"/>
    <w:rsid w:val="796EEDD3"/>
    <w:rsid w:val="79C2E82E"/>
    <w:rsid w:val="79DF55C4"/>
    <w:rsid w:val="7AA7103D"/>
    <w:rsid w:val="7BA2D956"/>
    <w:rsid w:val="7C47AD12"/>
    <w:rsid w:val="7C661BB4"/>
    <w:rsid w:val="7CDB5A99"/>
    <w:rsid w:val="7EA0B018"/>
    <w:rsid w:val="7EF51C71"/>
    <w:rsid w:val="7F21F8D1"/>
    <w:rsid w:val="7FC95E1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style="mso-position-horizontal-relative:page;mso-position-vertical-relative:page" stroke="f">
      <v:stroke on="f"/>
      <o:colormru v:ext="edit" colors="white"/>
    </o:shapedefaults>
    <o:shapelayout v:ext="edit">
      <o:idmap v:ext="edit" data="1"/>
    </o:shapelayout>
  </w:shapeDefaults>
  <w:decimalSymbol w:val="."/>
  <w:listSeparator w:val=","/>
  <w14:docId w14:val="66911347"/>
  <w15:docId w15:val="{2BFEFD58-BD88-4108-A34C-C22F3D1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542B3F"/>
    <w:pPr>
      <w:keepNext/>
      <w:keepLines/>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542B3F"/>
    <w:pPr>
      <w:keepNext/>
      <w:keepLines/>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542B3F"/>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7"/>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39"/>
    <w:rsid w:val="007D20E3"/>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8"/>
      </w:numPr>
      <w:spacing w:before="120" w:after="120"/>
    </w:pPr>
  </w:style>
  <w:style w:type="paragraph" w:styleId="ListNumber2">
    <w:name w:val="List Number 2"/>
    <w:basedOn w:val="Normal"/>
    <w:qFormat/>
    <w:rsid w:val="00781566"/>
    <w:pPr>
      <w:numPr>
        <w:ilvl w:val="1"/>
        <w:numId w:val="8"/>
      </w:numPr>
      <w:spacing w:before="120" w:after="120"/>
    </w:pPr>
  </w:style>
  <w:style w:type="paragraph" w:styleId="ListNumber3">
    <w:name w:val="List Number 3"/>
    <w:basedOn w:val="Normal"/>
    <w:qFormat/>
    <w:rsid w:val="00781566"/>
    <w:pPr>
      <w:numPr>
        <w:ilvl w:val="2"/>
        <w:numId w:val="8"/>
      </w:numPr>
      <w:spacing w:before="120" w:after="120"/>
    </w:pPr>
  </w:style>
  <w:style w:type="numbering" w:styleId="1ai">
    <w:name w:val="Outline List 1"/>
    <w:basedOn w:val="NoList"/>
    <w:rsid w:val="00606818"/>
    <w:pPr>
      <w:numPr>
        <w:numId w:val="5"/>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DD2BEA"/>
    <w:pPr>
      <w:spacing w:before="60" w:after="120"/>
    </w:pPr>
    <w:rPr>
      <w:rFonts w:cs="Times New Roman"/>
      <w:lang w:eastAsia="en-US"/>
    </w:rPr>
  </w:style>
  <w:style w:type="character" w:customStyle="1" w:styleId="BodyTextChar">
    <w:name w:val="Body Text Char"/>
    <w:basedOn w:val="DefaultParagraphFont"/>
    <w:link w:val="BodyText"/>
    <w:rsid w:val="00DD2BEA"/>
    <w:rPr>
      <w:rFonts w:cs="Times New Roman"/>
      <w:lang w:eastAsia="en-US"/>
    </w:rPr>
  </w:style>
  <w:style w:type="paragraph" w:customStyle="1" w:styleId="Footnotes">
    <w:name w:val="Footnotes"/>
    <w:basedOn w:val="Normal"/>
    <w:rsid w:val="0016301C"/>
    <w:pPr>
      <w:keepLines/>
      <w:numPr>
        <w:numId w:val="10"/>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autoRedefine/>
    <w:uiPriority w:val="34"/>
    <w:qFormat/>
    <w:rsid w:val="0075092B"/>
    <w:pPr>
      <w:numPr>
        <w:numId w:val="20"/>
      </w:numPr>
      <w:spacing w:beforeLines="40" w:before="96" w:afterLines="40" w:after="96" w:line="240" w:lineRule="auto"/>
    </w:pPr>
    <w:rPr>
      <w:rFonts w:eastAsia="Arial"/>
      <w:szCs w:val="22"/>
    </w:r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autoRedefine/>
    <w:unhideWhenUsed/>
    <w:qFormat/>
    <w:rsid w:val="004018E3"/>
    <w:pPr>
      <w:numPr>
        <w:numId w:val="11"/>
      </w:numPr>
      <w:spacing w:before="40" w:after="40" w:line="240" w:lineRule="auto"/>
    </w:pPr>
    <w:rPr>
      <w:sz w:val="16"/>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11"/>
      </w:numPr>
      <w:spacing w:before="120" w:after="120"/>
    </w:pPr>
  </w:style>
  <w:style w:type="paragraph" w:styleId="Subtitle">
    <w:name w:val="Subtitle"/>
    <w:basedOn w:val="Normal"/>
    <w:next w:val="Normal"/>
    <w:link w:val="SubtitleChar"/>
    <w:qFormat/>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rsid w:val="001748A0"/>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6"/>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qFormat/>
    <w:rsid w:val="002C2E8E"/>
    <w:pPr>
      <w:numPr>
        <w:numId w:val="29"/>
      </w:num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aliases w:val="List of Tables"/>
    <w:basedOn w:val="Normal"/>
    <w:next w:val="Normal"/>
    <w:uiPriority w:val="39"/>
    <w:rsid w:val="003636EA"/>
    <w:pPr>
      <w:tabs>
        <w:tab w:val="right" w:leader="dot" w:pos="9582"/>
      </w:tabs>
      <w:spacing w:before="240" w:after="60"/>
      <w:ind w:right="851"/>
    </w:pPr>
    <w:rPr>
      <w:b/>
      <w:noProof/>
      <w:color w:val="0072CE" w:themeColor="text2"/>
      <w:sz w:val="24"/>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uiPriority w:val="99"/>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0072CE"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0072CE"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0072CE" w:themeColor="text2"/>
      <w:sz w:val="24"/>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0072CE"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20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qFormat/>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rsid w:val="000758E3"/>
    <w:rPr>
      <w:b/>
      <w:bCs/>
    </w:rPr>
  </w:style>
  <w:style w:type="paragraph" w:customStyle="1" w:styleId="PullOutBoxNumbered">
    <w:name w:val="Pull Out Box Numbered"/>
    <w:basedOn w:val="PullOutBoxBodyText"/>
    <w:qFormat/>
    <w:rsid w:val="007879D1"/>
    <w:pPr>
      <w:numPr>
        <w:numId w:val="9"/>
      </w:numPr>
    </w:pPr>
  </w:style>
  <w:style w:type="paragraph" w:customStyle="1" w:styleId="PullOutBoxNumbered2">
    <w:name w:val="Pull Out Box Numbered 2"/>
    <w:basedOn w:val="PullOutBoxBodyText"/>
    <w:qFormat/>
    <w:rsid w:val="007A4BA3"/>
    <w:pPr>
      <w:numPr>
        <w:ilvl w:val="1"/>
        <w:numId w:val="9"/>
      </w:numPr>
    </w:pPr>
  </w:style>
  <w:style w:type="paragraph" w:customStyle="1" w:styleId="PullOutBoxNumbered3">
    <w:name w:val="Pull Out Box Numbered 3"/>
    <w:basedOn w:val="PullOutBoxBodyText"/>
    <w:qFormat/>
    <w:rsid w:val="007879D1"/>
    <w:pPr>
      <w:numPr>
        <w:ilvl w:val="2"/>
        <w:numId w:val="9"/>
      </w:numPr>
    </w:p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0"/>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21E6F"/>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5"/>
      </w:numPr>
      <w:spacing w:before="120" w:after="120"/>
    </w:pPr>
  </w:style>
  <w:style w:type="paragraph" w:customStyle="1" w:styleId="ListAlpha2">
    <w:name w:val="List Alpha 2"/>
    <w:basedOn w:val="Normal"/>
    <w:qFormat/>
    <w:rsid w:val="00893106"/>
    <w:pPr>
      <w:numPr>
        <w:ilvl w:val="1"/>
        <w:numId w:val="15"/>
      </w:numPr>
      <w:spacing w:before="120" w:after="120"/>
    </w:pPr>
  </w:style>
  <w:style w:type="paragraph" w:customStyle="1" w:styleId="ListAlpha3">
    <w:name w:val="List Alpha 3"/>
    <w:basedOn w:val="Normal"/>
    <w:qFormat/>
    <w:rsid w:val="00893106"/>
    <w:pPr>
      <w:numPr>
        <w:ilvl w:val="2"/>
        <w:numId w:val="15"/>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7"/>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6"/>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semiHidden/>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rsid w:val="00756F57"/>
    <w:rPr>
      <w:sz w:val="18"/>
    </w:rPr>
  </w:style>
  <w:style w:type="paragraph" w:customStyle="1" w:styleId="xDisclaimertext4">
    <w:name w:val="xDisclaimer text 4"/>
    <w:basedOn w:val="xDisclaimertext3"/>
    <w:qFormat/>
    <w:rsid w:val="00DF7CB7"/>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035BAD"/>
    <w:pPr>
      <w:framePr w:wrap="around"/>
      <w:spacing w:before="120" w:after="120"/>
    </w:pPr>
    <w:rPr>
      <w:b/>
      <w:color w:val="00B2A9" w:themeColor="accent1"/>
      <w:sz w:val="20"/>
    </w:rPr>
  </w:style>
  <w:style w:type="paragraph" w:customStyle="1" w:styleId="xDisclaimertext5">
    <w:name w:val="xDisclaimer text 5"/>
    <w:basedOn w:val="xDisclaimertext4"/>
    <w:qFormat/>
    <w:rsid w:val="008D53C7"/>
    <w:pPr>
      <w:framePr w:wrap="around"/>
      <w:spacing w:after="100"/>
      <w:ind w:right="3119"/>
    </w:pPr>
  </w:style>
  <w:style w:type="table" w:styleId="ColorfulGrid">
    <w:name w:val="Colorful Grid"/>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BCFFFB" w:themeFill="accent1" w:themeFillTint="33"/>
    </w:tcPr>
    <w:tblStylePr w:type="firstRow">
      <w:rPr>
        <w:b/>
        <w:bCs/>
      </w:rPr>
      <w:tblPr/>
      <w:tcPr>
        <w:shd w:val="clear" w:color="auto" w:fill="7AFFF8" w:themeFill="accent1" w:themeFillTint="66"/>
      </w:tcPr>
    </w:tblStylePr>
    <w:tblStylePr w:type="lastRow">
      <w:rPr>
        <w:b/>
        <w:bCs/>
        <w:color w:val="363534" w:themeColor="text1"/>
      </w:rPr>
      <w:tblPr/>
      <w:tcPr>
        <w:shd w:val="clear" w:color="auto" w:fill="7AFFF8" w:themeFill="accent1" w:themeFillTint="66"/>
      </w:tcPr>
    </w:tblStylePr>
    <w:tblStylePr w:type="firstCol">
      <w:rPr>
        <w:color w:val="FFFFFF" w:themeColor="background1"/>
      </w:rPr>
      <w:tblPr/>
      <w:tcPr>
        <w:shd w:val="clear" w:color="auto" w:fill="00857E" w:themeFill="accent1" w:themeFillShade="BF"/>
      </w:tcPr>
    </w:tblStylePr>
    <w:tblStylePr w:type="lastCol">
      <w:rPr>
        <w:color w:val="FFFFFF" w:themeColor="background1"/>
      </w:rPr>
      <w:tblPr/>
      <w:tcPr>
        <w:shd w:val="clear" w:color="auto" w:fill="00857E" w:themeFill="accent1" w:themeFillShade="BF"/>
      </w:tcPr>
    </w:tblStylePr>
    <w:tblStylePr w:type="band1Vert">
      <w:tblPr/>
      <w:tcPr>
        <w:shd w:val="clear" w:color="auto" w:fill="59FFF6" w:themeFill="accent1" w:themeFillTint="7F"/>
      </w:tcPr>
    </w:tblStylePr>
    <w:tblStylePr w:type="band1Horz">
      <w:tblPr/>
      <w:tcPr>
        <w:shd w:val="clear" w:color="auto" w:fill="59FFF6" w:themeFill="accent1" w:themeFillTint="7F"/>
      </w:tcPr>
    </w:tblStylePr>
  </w:style>
  <w:style w:type="table" w:styleId="ColorfulGrid-Accent2">
    <w:name w:val="Colorful Grid Accent 2"/>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C2E3FF" w:themeFill="accent2" w:themeFillTint="33"/>
    </w:tcPr>
    <w:tblStylePr w:type="firstRow">
      <w:rPr>
        <w:b/>
        <w:bCs/>
      </w:rPr>
      <w:tblPr/>
      <w:tcPr>
        <w:shd w:val="clear" w:color="auto" w:fill="85C8FF" w:themeFill="accent2" w:themeFillTint="66"/>
      </w:tcPr>
    </w:tblStylePr>
    <w:tblStylePr w:type="lastRow">
      <w:rPr>
        <w:b/>
        <w:bCs/>
        <w:color w:val="363534" w:themeColor="text1"/>
      </w:rPr>
      <w:tblPr/>
      <w:tcPr>
        <w:shd w:val="clear" w:color="auto" w:fill="85C8FF" w:themeFill="accent2" w:themeFillTint="66"/>
      </w:tcPr>
    </w:tblStylePr>
    <w:tblStylePr w:type="firstCol">
      <w:rPr>
        <w:color w:val="FFFFFF" w:themeColor="background1"/>
      </w:rPr>
      <w:tblPr/>
      <w:tcPr>
        <w:shd w:val="clear" w:color="auto" w:fill="00559A" w:themeFill="accent2" w:themeFillShade="BF"/>
      </w:tcPr>
    </w:tblStylePr>
    <w:tblStylePr w:type="lastCol">
      <w:rPr>
        <w:color w:val="FFFFFF" w:themeColor="background1"/>
      </w:rPr>
      <w:tblPr/>
      <w:tcPr>
        <w:shd w:val="clear" w:color="auto" w:fill="00559A" w:themeFill="accent2" w:themeFillShade="BF"/>
      </w:tcPr>
    </w:tblStylePr>
    <w:tblStylePr w:type="band1Vert">
      <w:tblPr/>
      <w:tcPr>
        <w:shd w:val="clear" w:color="auto" w:fill="67BBFF" w:themeFill="accent2" w:themeFillTint="7F"/>
      </w:tcPr>
    </w:tblStylePr>
    <w:tblStylePr w:type="band1Horz">
      <w:tblPr/>
      <w:tcPr>
        <w:shd w:val="clear" w:color="auto" w:fill="67BBFF" w:themeFill="accent2" w:themeFillTint="7F"/>
      </w:tcPr>
    </w:tblStylePr>
  </w:style>
  <w:style w:type="table" w:styleId="ColorfulGrid-Accent3">
    <w:name w:val="Colorful Grid Accent 3"/>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C8BEEC" w:themeFill="accent3" w:themeFillTint="33"/>
    </w:tcPr>
    <w:tblStylePr w:type="firstRow">
      <w:rPr>
        <w:b/>
        <w:bCs/>
      </w:rPr>
      <w:tblPr/>
      <w:tcPr>
        <w:shd w:val="clear" w:color="auto" w:fill="917DD8" w:themeFill="accent3" w:themeFillTint="66"/>
      </w:tcPr>
    </w:tblStylePr>
    <w:tblStylePr w:type="lastRow">
      <w:rPr>
        <w:b/>
        <w:bCs/>
        <w:color w:val="363534" w:themeColor="text1"/>
      </w:rPr>
      <w:tblPr/>
      <w:tcPr>
        <w:shd w:val="clear" w:color="auto" w:fill="917DD8" w:themeFill="accent3" w:themeFillTint="66"/>
      </w:tcPr>
    </w:tblStylePr>
    <w:tblStylePr w:type="firstCol">
      <w:rPr>
        <w:color w:val="FFFFFF" w:themeColor="background1"/>
      </w:rPr>
      <w:tblPr/>
      <w:tcPr>
        <w:shd w:val="clear" w:color="auto" w:fill="170F34" w:themeFill="accent3" w:themeFillShade="BF"/>
      </w:tcPr>
    </w:tblStylePr>
    <w:tblStylePr w:type="lastCol">
      <w:rPr>
        <w:color w:val="FFFFFF" w:themeColor="background1"/>
      </w:rPr>
      <w:tblPr/>
      <w:tcPr>
        <w:shd w:val="clear" w:color="auto" w:fill="170F34" w:themeFill="accent3" w:themeFillShade="BF"/>
      </w:tcPr>
    </w:tblStylePr>
    <w:tblStylePr w:type="band1Vert">
      <w:tblPr/>
      <w:tcPr>
        <w:shd w:val="clear" w:color="auto" w:fill="775ECF" w:themeFill="accent3" w:themeFillTint="7F"/>
      </w:tcPr>
    </w:tblStylePr>
    <w:tblStylePr w:type="band1Horz">
      <w:tblPr/>
      <w:tcPr>
        <w:shd w:val="clear" w:color="auto" w:fill="775ECF" w:themeFill="accent3" w:themeFillTint="7F"/>
      </w:tcPr>
    </w:tblStylePr>
  </w:style>
  <w:style w:type="table" w:styleId="ColorfulGrid-Accent4">
    <w:name w:val="Colorful Grid Accent 4"/>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AF8F8" w:themeFill="accent4" w:themeFillTint="33"/>
    </w:tcPr>
    <w:tblStylePr w:type="firstRow">
      <w:rPr>
        <w:b/>
        <w:bCs/>
      </w:rPr>
      <w:tblPr/>
      <w:tcPr>
        <w:shd w:val="clear" w:color="auto" w:fill="D6F2F1" w:themeFill="accent4" w:themeFillTint="66"/>
      </w:tcPr>
    </w:tblStylePr>
    <w:tblStylePr w:type="lastRow">
      <w:rPr>
        <w:b/>
        <w:bCs/>
        <w:color w:val="363534" w:themeColor="text1"/>
      </w:rPr>
      <w:tblPr/>
      <w:tcPr>
        <w:shd w:val="clear" w:color="auto" w:fill="D6F2F1" w:themeFill="accent4" w:themeFillTint="66"/>
      </w:tcPr>
    </w:tblStylePr>
    <w:tblStylePr w:type="firstCol">
      <w:rPr>
        <w:color w:val="FFFFFF" w:themeColor="background1"/>
      </w:rPr>
      <w:tblPr/>
      <w:tcPr>
        <w:shd w:val="clear" w:color="auto" w:fill="50CAC4" w:themeFill="accent4" w:themeFillShade="BF"/>
      </w:tcPr>
    </w:tblStylePr>
    <w:tblStylePr w:type="lastCol">
      <w:rPr>
        <w:color w:val="FFFFFF" w:themeColor="background1"/>
      </w:rPr>
      <w:tblPr/>
      <w:tcPr>
        <w:shd w:val="clear" w:color="auto" w:fill="50CAC4" w:themeFill="accent4" w:themeFillShade="BF"/>
      </w:tcPr>
    </w:tblStylePr>
    <w:tblStylePr w:type="band1Vert">
      <w:tblPr/>
      <w:tcPr>
        <w:shd w:val="clear" w:color="auto" w:fill="CCEFEE" w:themeFill="accent4" w:themeFillTint="7F"/>
      </w:tcPr>
    </w:tblStylePr>
    <w:tblStylePr w:type="band1Horz">
      <w:tblPr/>
      <w:tcPr>
        <w:shd w:val="clear" w:color="auto" w:fill="CCEFEE" w:themeFill="accent4" w:themeFillTint="7F"/>
      </w:tcPr>
    </w:tblStylePr>
  </w:style>
  <w:style w:type="table" w:styleId="ColorfulGrid-Accent5">
    <w:name w:val="Colorful Grid Accent 5"/>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AF3FB" w:themeFill="accent5" w:themeFillTint="33"/>
    </w:tcPr>
    <w:tblStylePr w:type="firstRow">
      <w:rPr>
        <w:b/>
        <w:bCs/>
      </w:rPr>
      <w:tblPr/>
      <w:tcPr>
        <w:shd w:val="clear" w:color="auto" w:fill="D6E8F7" w:themeFill="accent5" w:themeFillTint="66"/>
      </w:tcPr>
    </w:tblStylePr>
    <w:tblStylePr w:type="lastRow">
      <w:rPr>
        <w:b/>
        <w:bCs/>
        <w:color w:val="363534" w:themeColor="text1"/>
      </w:rPr>
      <w:tblPr/>
      <w:tcPr>
        <w:shd w:val="clear" w:color="auto" w:fill="D6E8F7" w:themeFill="accent5" w:themeFillTint="66"/>
      </w:tcPr>
    </w:tblStylePr>
    <w:tblStylePr w:type="firstCol">
      <w:rPr>
        <w:color w:val="FFFFFF" w:themeColor="background1"/>
      </w:rPr>
      <w:tblPr/>
      <w:tcPr>
        <w:shd w:val="clear" w:color="auto" w:fill="479ADB" w:themeFill="accent5" w:themeFillShade="BF"/>
      </w:tcPr>
    </w:tblStylePr>
    <w:tblStylePr w:type="lastCol">
      <w:rPr>
        <w:color w:val="FFFFFF" w:themeColor="background1"/>
      </w:rPr>
      <w:tblPr/>
      <w:tcPr>
        <w:shd w:val="clear" w:color="auto" w:fill="479ADB" w:themeFill="accent5" w:themeFillShade="BF"/>
      </w:tcPr>
    </w:tblStylePr>
    <w:tblStylePr w:type="band1Vert">
      <w:tblPr/>
      <w:tcPr>
        <w:shd w:val="clear" w:color="auto" w:fill="CCE2F5" w:themeFill="accent5" w:themeFillTint="7F"/>
      </w:tcPr>
    </w:tblStylePr>
    <w:tblStylePr w:type="band1Horz">
      <w:tblPr/>
      <w:tcPr>
        <w:shd w:val="clear" w:color="auto" w:fill="CCE2F5" w:themeFill="accent5" w:themeFillTint="7F"/>
      </w:tcPr>
    </w:tblStylePr>
  </w:style>
  <w:style w:type="table" w:styleId="ColorfulGrid-Accent6">
    <w:name w:val="Colorful Grid Accent 6"/>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DECF0" w:themeFill="accent6" w:themeFillTint="33"/>
    </w:tcPr>
    <w:tblStylePr w:type="firstRow">
      <w:rPr>
        <w:b/>
        <w:bCs/>
      </w:rPr>
      <w:tblPr/>
      <w:tcPr>
        <w:shd w:val="clear" w:color="auto" w:fill="DBD9E1" w:themeFill="accent6" w:themeFillTint="66"/>
      </w:tcPr>
    </w:tblStylePr>
    <w:tblStylePr w:type="lastRow">
      <w:rPr>
        <w:b/>
        <w:bCs/>
        <w:color w:val="363534" w:themeColor="text1"/>
      </w:rPr>
      <w:tblPr/>
      <w:tcPr>
        <w:shd w:val="clear" w:color="auto" w:fill="DBD9E1" w:themeFill="accent6" w:themeFillTint="66"/>
      </w:tcPr>
    </w:tblStylePr>
    <w:tblStylePr w:type="firstCol">
      <w:rPr>
        <w:color w:val="FFFFFF" w:themeColor="background1"/>
      </w:rPr>
      <w:tblPr/>
      <w:tcPr>
        <w:shd w:val="clear" w:color="auto" w:fill="78708F" w:themeFill="accent6" w:themeFillShade="BF"/>
      </w:tcPr>
    </w:tblStylePr>
    <w:tblStylePr w:type="lastCol">
      <w:rPr>
        <w:color w:val="FFFFFF" w:themeColor="background1"/>
      </w:rPr>
      <w:tblPr/>
      <w:tcPr>
        <w:shd w:val="clear" w:color="auto" w:fill="78708F" w:themeFill="accent6" w:themeFillShade="BF"/>
      </w:tcPr>
    </w:tblStylePr>
    <w:tblStylePr w:type="band1Vert">
      <w:tblPr/>
      <w:tcPr>
        <w:shd w:val="clear" w:color="auto" w:fill="D2D0DA" w:themeFill="accent6" w:themeFillTint="7F"/>
      </w:tcPr>
    </w:tblStylePr>
    <w:tblStylePr w:type="band1Horz">
      <w:tblPr/>
      <w:tcPr>
        <w:shd w:val="clear" w:color="auto" w:fill="D2D0DA" w:themeFill="accent6" w:themeFillTint="7F"/>
      </w:tcPr>
    </w:tblStylePr>
  </w:style>
  <w:style w:type="table" w:styleId="ColorfulList">
    <w:name w:val="Colorful List"/>
    <w:basedOn w:val="TableNormal"/>
    <w:uiPriority w:val="72"/>
    <w:semiHidden/>
    <w:rsid w:val="0021343A"/>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005BA4" w:themeFill="accent2" w:themeFillShade="CC"/>
      </w:tcPr>
    </w:tblStylePr>
    <w:tblStylePr w:type="lastRow">
      <w:rPr>
        <w:b/>
        <w:bCs/>
        <w:color w:val="005BA4"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1343A"/>
    <w:pPr>
      <w:spacing w:line="240" w:lineRule="auto"/>
    </w:pPr>
    <w:tblPr>
      <w:tblStyleRowBandSize w:val="1"/>
      <w:tblStyleColBandSize w:val="1"/>
    </w:tblPr>
    <w:tcPr>
      <w:shd w:val="clear" w:color="auto" w:fill="DEFFFD" w:themeFill="accent1" w:themeFillTint="19"/>
    </w:tcPr>
    <w:tblStylePr w:type="firstRow">
      <w:rPr>
        <w:b/>
        <w:bCs/>
        <w:color w:val="FFFFFF" w:themeColor="background1"/>
      </w:rPr>
      <w:tblPr/>
      <w:tcPr>
        <w:tcBorders>
          <w:bottom w:val="single" w:sz="12" w:space="0" w:color="FFFFFF" w:themeColor="background1"/>
        </w:tcBorders>
        <w:shd w:val="clear" w:color="auto" w:fill="005BA4" w:themeFill="accent2" w:themeFillShade="CC"/>
      </w:tcPr>
    </w:tblStylePr>
    <w:tblStylePr w:type="lastRow">
      <w:rPr>
        <w:b/>
        <w:bCs/>
        <w:color w:val="005BA4"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1" w:themeFillTint="3F"/>
      </w:tcPr>
    </w:tblStylePr>
    <w:tblStylePr w:type="band1Horz">
      <w:tblPr/>
      <w:tcPr>
        <w:shd w:val="clear" w:color="auto" w:fill="BCFFFB" w:themeFill="accent1" w:themeFillTint="33"/>
      </w:tcPr>
    </w:tblStylePr>
  </w:style>
  <w:style w:type="table" w:styleId="ColorfulList-Accent2">
    <w:name w:val="Colorful List Accent 2"/>
    <w:basedOn w:val="TableNormal"/>
    <w:uiPriority w:val="72"/>
    <w:semiHidden/>
    <w:rsid w:val="0021343A"/>
    <w:pPr>
      <w:spacing w:line="240" w:lineRule="auto"/>
    </w:pPr>
    <w:tblPr>
      <w:tblStyleRowBandSize w:val="1"/>
      <w:tblStyleColBandSize w:val="1"/>
    </w:tblPr>
    <w:tcPr>
      <w:shd w:val="clear" w:color="auto" w:fill="E1F1FF" w:themeFill="accent2" w:themeFillTint="19"/>
    </w:tcPr>
    <w:tblStylePr w:type="firstRow">
      <w:rPr>
        <w:b/>
        <w:bCs/>
        <w:color w:val="FFFFFF" w:themeColor="background1"/>
      </w:rPr>
      <w:tblPr/>
      <w:tcPr>
        <w:tcBorders>
          <w:bottom w:val="single" w:sz="12" w:space="0" w:color="FFFFFF" w:themeColor="background1"/>
        </w:tcBorders>
        <w:shd w:val="clear" w:color="auto" w:fill="005BA4" w:themeFill="accent2" w:themeFillShade="CC"/>
      </w:tcPr>
    </w:tblStylePr>
    <w:tblStylePr w:type="lastRow">
      <w:rPr>
        <w:b/>
        <w:bCs/>
        <w:color w:val="005BA4"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2" w:themeFillTint="3F"/>
      </w:tcPr>
    </w:tblStylePr>
    <w:tblStylePr w:type="band1Horz">
      <w:tblPr/>
      <w:tcPr>
        <w:shd w:val="clear" w:color="auto" w:fill="C2E3FF" w:themeFill="accent2" w:themeFillTint="33"/>
      </w:tcPr>
    </w:tblStylePr>
  </w:style>
  <w:style w:type="table" w:styleId="ColorfulList-Accent3">
    <w:name w:val="Colorful List Accent 3"/>
    <w:basedOn w:val="TableNormal"/>
    <w:uiPriority w:val="72"/>
    <w:semiHidden/>
    <w:rsid w:val="0021343A"/>
    <w:pPr>
      <w:spacing w:line="240" w:lineRule="auto"/>
    </w:pPr>
    <w:tblPr>
      <w:tblStyleRowBandSize w:val="1"/>
      <w:tblStyleColBandSize w:val="1"/>
    </w:tblPr>
    <w:tcPr>
      <w:shd w:val="clear" w:color="auto" w:fill="E4DFF5" w:themeFill="accent3" w:themeFillTint="19"/>
    </w:tcPr>
    <w:tblStylePr w:type="firstRow">
      <w:rPr>
        <w:b/>
        <w:bCs/>
        <w:color w:val="FFFFFF" w:themeColor="background1"/>
      </w:rPr>
      <w:tblPr/>
      <w:tcPr>
        <w:tcBorders>
          <w:bottom w:val="single" w:sz="12" w:space="0" w:color="FFFFFF" w:themeColor="background1"/>
        </w:tcBorders>
        <w:shd w:val="clear" w:color="auto" w:fill="5FCEC9" w:themeFill="accent4" w:themeFillShade="CC"/>
      </w:tcPr>
    </w:tblStylePr>
    <w:tblStylePr w:type="lastRow">
      <w:rPr>
        <w:b/>
        <w:bCs/>
        <w:color w:val="5FCEC9"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3" w:themeFillTint="3F"/>
      </w:tcPr>
    </w:tblStylePr>
    <w:tblStylePr w:type="band1Horz">
      <w:tblPr/>
      <w:tcPr>
        <w:shd w:val="clear" w:color="auto" w:fill="C8BEEC" w:themeFill="accent3" w:themeFillTint="33"/>
      </w:tcPr>
    </w:tblStylePr>
  </w:style>
  <w:style w:type="table" w:styleId="ColorfulList-Accent4">
    <w:name w:val="Colorful List Accent 4"/>
    <w:basedOn w:val="TableNormal"/>
    <w:uiPriority w:val="72"/>
    <w:semiHidden/>
    <w:rsid w:val="0021343A"/>
    <w:pPr>
      <w:spacing w:line="240" w:lineRule="auto"/>
    </w:pPr>
    <w:tblPr>
      <w:tblStyleRowBandSize w:val="1"/>
      <w:tblStyleColBandSize w:val="1"/>
    </w:tblPr>
    <w:tcPr>
      <w:shd w:val="clear" w:color="auto" w:fill="F4FCFB" w:themeFill="accent4" w:themeFillTint="19"/>
    </w:tcPr>
    <w:tblStylePr w:type="firstRow">
      <w:rPr>
        <w:b/>
        <w:bCs/>
        <w:color w:val="FFFFFF" w:themeColor="background1"/>
      </w:rPr>
      <w:tblPr/>
      <w:tcPr>
        <w:tcBorders>
          <w:bottom w:val="single" w:sz="12" w:space="0" w:color="FFFFFF" w:themeColor="background1"/>
        </w:tcBorders>
        <w:shd w:val="clear" w:color="auto" w:fill="191038" w:themeFill="accent3" w:themeFillShade="CC"/>
      </w:tcPr>
    </w:tblStylePr>
    <w:tblStylePr w:type="lastRow">
      <w:rPr>
        <w:b/>
        <w:bCs/>
        <w:color w:val="19103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4" w:themeFillTint="3F"/>
      </w:tcPr>
    </w:tblStylePr>
    <w:tblStylePr w:type="band1Horz">
      <w:tblPr/>
      <w:tcPr>
        <w:shd w:val="clear" w:color="auto" w:fill="EAF8F8" w:themeFill="accent4" w:themeFillTint="33"/>
      </w:tcPr>
    </w:tblStylePr>
  </w:style>
  <w:style w:type="table" w:styleId="ColorfulList-Accent5">
    <w:name w:val="Colorful List Accent 5"/>
    <w:basedOn w:val="TableNormal"/>
    <w:uiPriority w:val="72"/>
    <w:semiHidden/>
    <w:rsid w:val="0021343A"/>
    <w:pPr>
      <w:spacing w:line="240" w:lineRule="auto"/>
    </w:pPr>
    <w:tblPr>
      <w:tblStyleRowBandSize w:val="1"/>
      <w:tblStyleColBandSize w:val="1"/>
    </w:tblPr>
    <w:tcPr>
      <w:shd w:val="clear" w:color="auto" w:fill="F4F9FD" w:themeFill="accent5" w:themeFillTint="19"/>
    </w:tcPr>
    <w:tblStylePr w:type="firstRow">
      <w:rPr>
        <w:b/>
        <w:bCs/>
        <w:color w:val="FFFFFF" w:themeColor="background1"/>
      </w:rPr>
      <w:tblPr/>
      <w:tcPr>
        <w:tcBorders>
          <w:bottom w:val="single" w:sz="12" w:space="0" w:color="FFFFFF" w:themeColor="background1"/>
        </w:tcBorders>
        <w:shd w:val="clear" w:color="auto" w:fill="817A96" w:themeFill="accent6" w:themeFillShade="CC"/>
      </w:tcPr>
    </w:tblStylePr>
    <w:tblStylePr w:type="lastRow">
      <w:rPr>
        <w:b/>
        <w:bCs/>
        <w:color w:val="817A96"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FA" w:themeFill="accent5" w:themeFillTint="3F"/>
      </w:tcPr>
    </w:tblStylePr>
    <w:tblStylePr w:type="band1Horz">
      <w:tblPr/>
      <w:tcPr>
        <w:shd w:val="clear" w:color="auto" w:fill="EAF3FB" w:themeFill="accent5" w:themeFillTint="33"/>
      </w:tcPr>
    </w:tblStylePr>
  </w:style>
  <w:style w:type="table" w:styleId="ColorfulList-Accent6">
    <w:name w:val="Colorful List Accent 6"/>
    <w:basedOn w:val="TableNormal"/>
    <w:uiPriority w:val="72"/>
    <w:semiHidden/>
    <w:rsid w:val="0021343A"/>
    <w:pPr>
      <w:spacing w:line="240" w:lineRule="auto"/>
    </w:pPr>
    <w:tblPr>
      <w:tblStyleRowBandSize w:val="1"/>
      <w:tblStyleColBandSize w:val="1"/>
    </w:tblPr>
    <w:tcPr>
      <w:shd w:val="clear" w:color="auto" w:fill="F6F5F7" w:themeFill="accent6" w:themeFillTint="19"/>
    </w:tcPr>
    <w:tblStylePr w:type="firstRow">
      <w:rPr>
        <w:b/>
        <w:bCs/>
        <w:color w:val="FFFFFF" w:themeColor="background1"/>
      </w:rPr>
      <w:tblPr/>
      <w:tcPr>
        <w:tcBorders>
          <w:bottom w:val="single" w:sz="12" w:space="0" w:color="FFFFFF" w:themeColor="background1"/>
        </w:tcBorders>
        <w:shd w:val="clear" w:color="auto" w:fill="58A3DE" w:themeFill="accent5" w:themeFillShade="CC"/>
      </w:tcPr>
    </w:tblStylePr>
    <w:tblStylePr w:type="lastRow">
      <w:rPr>
        <w:b/>
        <w:bCs/>
        <w:color w:val="58A3DE"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7EC" w:themeFill="accent6" w:themeFillTint="3F"/>
      </w:tcPr>
    </w:tblStylePr>
    <w:tblStylePr w:type="band1Horz">
      <w:tblPr/>
      <w:tcPr>
        <w:shd w:val="clear" w:color="auto" w:fill="EDECF0" w:themeFill="accent6" w:themeFillTint="33"/>
      </w:tcPr>
    </w:tblStylePr>
  </w:style>
  <w:style w:type="table" w:styleId="ColorfulShading">
    <w:name w:val="Colorful Shading"/>
    <w:basedOn w:val="TableNormal"/>
    <w:uiPriority w:val="71"/>
    <w:semiHidden/>
    <w:rsid w:val="0021343A"/>
    <w:pPr>
      <w:spacing w:line="240" w:lineRule="auto"/>
    </w:pPr>
    <w:tblPr>
      <w:tblStyleRowBandSize w:val="1"/>
      <w:tblStyleColBandSize w:val="1"/>
      <w:tblBorders>
        <w:top w:val="single" w:sz="24" w:space="0" w:color="0072CE"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0072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1343A"/>
    <w:pPr>
      <w:spacing w:line="240" w:lineRule="auto"/>
    </w:pPr>
    <w:tblPr>
      <w:tblStyleRowBandSize w:val="1"/>
      <w:tblStyleColBandSize w:val="1"/>
      <w:tblBorders>
        <w:top w:val="single" w:sz="24" w:space="0" w:color="0072CE" w:themeColor="accent2"/>
        <w:left w:val="single" w:sz="4" w:space="0" w:color="00B2A9" w:themeColor="accent1"/>
        <w:bottom w:val="single" w:sz="4" w:space="0" w:color="00B2A9" w:themeColor="accent1"/>
        <w:right w:val="single" w:sz="4" w:space="0" w:color="00B2A9" w:themeColor="accent1"/>
        <w:insideH w:val="single" w:sz="4" w:space="0" w:color="FFFFFF" w:themeColor="background1"/>
        <w:insideV w:val="single" w:sz="4" w:space="0" w:color="FFFFFF" w:themeColor="background1"/>
      </w:tblBorders>
    </w:tblPr>
    <w:tcPr>
      <w:shd w:val="clear" w:color="auto" w:fill="DEFFFD" w:themeFill="accent1" w:themeFillTint="19"/>
    </w:tcPr>
    <w:tblStylePr w:type="firstRow">
      <w:rPr>
        <w:b/>
        <w:bCs/>
      </w:rPr>
      <w:tblPr/>
      <w:tcPr>
        <w:tcBorders>
          <w:top w:val="nil"/>
          <w:left w:val="nil"/>
          <w:bottom w:val="single" w:sz="24" w:space="0" w:color="0072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1" w:themeFillShade="99"/>
      </w:tcPr>
    </w:tblStylePr>
    <w:tblStylePr w:type="firstCol">
      <w:rPr>
        <w:color w:val="FFFFFF" w:themeColor="background1"/>
      </w:rPr>
      <w:tblPr/>
      <w:tcPr>
        <w:tcBorders>
          <w:top w:val="nil"/>
          <w:left w:val="nil"/>
          <w:bottom w:val="nil"/>
          <w:right w:val="nil"/>
          <w:insideH w:val="single" w:sz="4" w:space="0" w:color="006A65" w:themeColor="accent1" w:themeShade="99"/>
          <w:insideV w:val="nil"/>
        </w:tcBorders>
        <w:shd w:val="clear" w:color="auto" w:fill="006A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1" w:themeFillShade="99"/>
      </w:tcPr>
    </w:tblStylePr>
    <w:tblStylePr w:type="band1Vert">
      <w:tblPr/>
      <w:tcPr>
        <w:shd w:val="clear" w:color="auto" w:fill="7AFFF8" w:themeFill="accent1" w:themeFillTint="66"/>
      </w:tcPr>
    </w:tblStylePr>
    <w:tblStylePr w:type="band1Horz">
      <w:tblPr/>
      <w:tcPr>
        <w:shd w:val="clear" w:color="auto" w:fill="59FFF6"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1343A"/>
    <w:pPr>
      <w:spacing w:line="240" w:lineRule="auto"/>
    </w:pPr>
    <w:tblPr>
      <w:tblStyleRowBandSize w:val="1"/>
      <w:tblStyleColBandSize w:val="1"/>
      <w:tblBorders>
        <w:top w:val="single" w:sz="24" w:space="0" w:color="0072CE" w:themeColor="accent2"/>
        <w:left w:val="single" w:sz="4" w:space="0" w:color="0072CE" w:themeColor="accent2"/>
        <w:bottom w:val="single" w:sz="4" w:space="0" w:color="0072CE" w:themeColor="accent2"/>
        <w:right w:val="single" w:sz="4" w:space="0" w:color="0072CE" w:themeColor="accent2"/>
        <w:insideH w:val="single" w:sz="4" w:space="0" w:color="FFFFFF" w:themeColor="background1"/>
        <w:insideV w:val="single" w:sz="4" w:space="0" w:color="FFFFFF" w:themeColor="background1"/>
      </w:tblBorders>
    </w:tblPr>
    <w:tcPr>
      <w:shd w:val="clear" w:color="auto" w:fill="E1F1FF" w:themeFill="accent2" w:themeFillTint="19"/>
    </w:tcPr>
    <w:tblStylePr w:type="firstRow">
      <w:rPr>
        <w:b/>
        <w:bCs/>
      </w:rPr>
      <w:tblPr/>
      <w:tcPr>
        <w:tcBorders>
          <w:top w:val="nil"/>
          <w:left w:val="nil"/>
          <w:bottom w:val="single" w:sz="24" w:space="0" w:color="0072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2" w:themeFillShade="99"/>
      </w:tcPr>
    </w:tblStylePr>
    <w:tblStylePr w:type="firstCol">
      <w:rPr>
        <w:color w:val="FFFFFF" w:themeColor="background1"/>
      </w:rPr>
      <w:tblPr/>
      <w:tcPr>
        <w:tcBorders>
          <w:top w:val="nil"/>
          <w:left w:val="nil"/>
          <w:bottom w:val="nil"/>
          <w:right w:val="nil"/>
          <w:insideH w:val="single" w:sz="4" w:space="0" w:color="00447B" w:themeColor="accent2" w:themeShade="99"/>
          <w:insideV w:val="nil"/>
        </w:tcBorders>
        <w:shd w:val="clear" w:color="auto" w:fill="0044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2" w:themeFillShade="99"/>
      </w:tcPr>
    </w:tblStylePr>
    <w:tblStylePr w:type="band1Vert">
      <w:tblPr/>
      <w:tcPr>
        <w:shd w:val="clear" w:color="auto" w:fill="85C8FF" w:themeFill="accent2" w:themeFillTint="66"/>
      </w:tcPr>
    </w:tblStylePr>
    <w:tblStylePr w:type="band1Horz">
      <w:tblPr/>
      <w:tcPr>
        <w:shd w:val="clear" w:color="auto" w:fill="67BBFF"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1343A"/>
    <w:pPr>
      <w:spacing w:line="240" w:lineRule="auto"/>
    </w:pPr>
    <w:tblPr>
      <w:tblStyleRowBandSize w:val="1"/>
      <w:tblStyleColBandSize w:val="1"/>
      <w:tblBorders>
        <w:top w:val="single" w:sz="24" w:space="0" w:color="99E0DD" w:themeColor="accent4"/>
        <w:left w:val="single" w:sz="4" w:space="0" w:color="201547" w:themeColor="accent3"/>
        <w:bottom w:val="single" w:sz="4" w:space="0" w:color="201547" w:themeColor="accent3"/>
        <w:right w:val="single" w:sz="4" w:space="0" w:color="201547" w:themeColor="accent3"/>
        <w:insideH w:val="single" w:sz="4" w:space="0" w:color="FFFFFF" w:themeColor="background1"/>
        <w:insideV w:val="single" w:sz="4" w:space="0" w:color="FFFFFF" w:themeColor="background1"/>
      </w:tblBorders>
    </w:tblPr>
    <w:tcPr>
      <w:shd w:val="clear" w:color="auto" w:fill="E4DFF5" w:themeFill="accent3" w:themeFillTint="19"/>
    </w:tcPr>
    <w:tblStylePr w:type="firstRow">
      <w:rPr>
        <w:b/>
        <w:bCs/>
      </w:rPr>
      <w:tblPr/>
      <w:tcPr>
        <w:tcBorders>
          <w:top w:val="nil"/>
          <w:left w:val="nil"/>
          <w:bottom w:val="single" w:sz="24" w:space="0" w:color="99E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3" w:themeFillShade="99"/>
      </w:tcPr>
    </w:tblStylePr>
    <w:tblStylePr w:type="firstCol">
      <w:rPr>
        <w:color w:val="FFFFFF" w:themeColor="background1"/>
      </w:rPr>
      <w:tblPr/>
      <w:tcPr>
        <w:tcBorders>
          <w:top w:val="nil"/>
          <w:left w:val="nil"/>
          <w:bottom w:val="nil"/>
          <w:right w:val="nil"/>
          <w:insideH w:val="single" w:sz="4" w:space="0" w:color="130C2A" w:themeColor="accent3" w:themeShade="99"/>
          <w:insideV w:val="nil"/>
        </w:tcBorders>
        <w:shd w:val="clear" w:color="auto" w:fill="130C2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3" w:themeFillShade="99"/>
      </w:tcPr>
    </w:tblStylePr>
    <w:tblStylePr w:type="band1Vert">
      <w:tblPr/>
      <w:tcPr>
        <w:shd w:val="clear" w:color="auto" w:fill="917DD8" w:themeFill="accent3" w:themeFillTint="66"/>
      </w:tcPr>
    </w:tblStylePr>
    <w:tblStylePr w:type="band1Horz">
      <w:tblPr/>
      <w:tcPr>
        <w:shd w:val="clear" w:color="auto" w:fill="775ECF" w:themeFill="accent3" w:themeFillTint="7F"/>
      </w:tcPr>
    </w:tblStylePr>
  </w:style>
  <w:style w:type="table" w:styleId="ColorfulShading-Accent4">
    <w:name w:val="Colorful Shading Accent 4"/>
    <w:basedOn w:val="TableNormal"/>
    <w:uiPriority w:val="71"/>
    <w:semiHidden/>
    <w:rsid w:val="0021343A"/>
    <w:pPr>
      <w:spacing w:line="240" w:lineRule="auto"/>
    </w:pPr>
    <w:tblPr>
      <w:tblStyleRowBandSize w:val="1"/>
      <w:tblStyleColBandSize w:val="1"/>
      <w:tblBorders>
        <w:top w:val="single" w:sz="24" w:space="0" w:color="201547" w:themeColor="accent3"/>
        <w:left w:val="single" w:sz="4" w:space="0" w:color="99E0DD" w:themeColor="accent4"/>
        <w:bottom w:val="single" w:sz="4" w:space="0" w:color="99E0DD" w:themeColor="accent4"/>
        <w:right w:val="single" w:sz="4" w:space="0" w:color="99E0DD" w:themeColor="accent4"/>
        <w:insideH w:val="single" w:sz="4" w:space="0" w:color="FFFFFF" w:themeColor="background1"/>
        <w:insideV w:val="single" w:sz="4" w:space="0" w:color="FFFFFF" w:themeColor="background1"/>
      </w:tblBorders>
    </w:tblPr>
    <w:tcPr>
      <w:shd w:val="clear" w:color="auto" w:fill="F4FCFB" w:themeFill="accent4" w:themeFillTint="19"/>
    </w:tcPr>
    <w:tblStylePr w:type="firstRow">
      <w:rPr>
        <w:b/>
        <w:bCs/>
      </w:rPr>
      <w:tblPr/>
      <w:tcPr>
        <w:tcBorders>
          <w:top w:val="nil"/>
          <w:left w:val="nil"/>
          <w:bottom w:val="single" w:sz="24" w:space="0" w:color="20154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4" w:themeFillShade="99"/>
      </w:tcPr>
    </w:tblStylePr>
    <w:tblStylePr w:type="firstCol">
      <w:rPr>
        <w:color w:val="FFFFFF" w:themeColor="background1"/>
      </w:rPr>
      <w:tblPr/>
      <w:tcPr>
        <w:tcBorders>
          <w:top w:val="nil"/>
          <w:left w:val="nil"/>
          <w:bottom w:val="nil"/>
          <w:right w:val="nil"/>
          <w:insideH w:val="single" w:sz="4" w:space="0" w:color="34ADA7" w:themeColor="accent4" w:themeShade="99"/>
          <w:insideV w:val="nil"/>
        </w:tcBorders>
        <w:shd w:val="clear" w:color="auto" w:fill="34ADA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4" w:themeFillShade="99"/>
      </w:tcPr>
    </w:tblStylePr>
    <w:tblStylePr w:type="band1Vert">
      <w:tblPr/>
      <w:tcPr>
        <w:shd w:val="clear" w:color="auto" w:fill="D6F2F1" w:themeFill="accent4" w:themeFillTint="66"/>
      </w:tcPr>
    </w:tblStylePr>
    <w:tblStylePr w:type="band1Horz">
      <w:tblPr/>
      <w:tcPr>
        <w:shd w:val="clear" w:color="auto" w:fill="CCEFEE"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1343A"/>
    <w:pPr>
      <w:spacing w:line="240" w:lineRule="auto"/>
    </w:pPr>
    <w:tblPr>
      <w:tblStyleRowBandSize w:val="1"/>
      <w:tblStyleColBandSize w:val="1"/>
      <w:tblBorders>
        <w:top w:val="single" w:sz="24" w:space="0" w:color="A6A1B5" w:themeColor="accent6"/>
        <w:left w:val="single" w:sz="4" w:space="0" w:color="99C7EB" w:themeColor="accent5"/>
        <w:bottom w:val="single" w:sz="4" w:space="0" w:color="99C7EB" w:themeColor="accent5"/>
        <w:right w:val="single" w:sz="4" w:space="0" w:color="99C7EB" w:themeColor="accent5"/>
        <w:insideH w:val="single" w:sz="4" w:space="0" w:color="FFFFFF" w:themeColor="background1"/>
        <w:insideV w:val="single" w:sz="4" w:space="0" w:color="FFFFFF" w:themeColor="background1"/>
      </w:tblBorders>
    </w:tblPr>
    <w:tcPr>
      <w:shd w:val="clear" w:color="auto" w:fill="F4F9FD" w:themeFill="accent5" w:themeFillTint="19"/>
    </w:tcPr>
    <w:tblStylePr w:type="firstRow">
      <w:rPr>
        <w:b/>
        <w:bCs/>
      </w:rPr>
      <w:tblPr/>
      <w:tcPr>
        <w:tcBorders>
          <w:top w:val="nil"/>
          <w:left w:val="nil"/>
          <w:bottom w:val="single" w:sz="24" w:space="0" w:color="A6A1B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7DC2" w:themeFill="accent5" w:themeFillShade="99"/>
      </w:tcPr>
    </w:tblStylePr>
    <w:tblStylePr w:type="firstCol">
      <w:rPr>
        <w:color w:val="FFFFFF" w:themeColor="background1"/>
      </w:rPr>
      <w:tblPr/>
      <w:tcPr>
        <w:tcBorders>
          <w:top w:val="nil"/>
          <w:left w:val="nil"/>
          <w:bottom w:val="nil"/>
          <w:right w:val="nil"/>
          <w:insideH w:val="single" w:sz="4" w:space="0" w:color="267DC2" w:themeColor="accent5" w:themeShade="99"/>
          <w:insideV w:val="nil"/>
        </w:tcBorders>
        <w:shd w:val="clear" w:color="auto" w:fill="267DC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7DC2" w:themeFill="accent5" w:themeFillShade="99"/>
      </w:tcPr>
    </w:tblStylePr>
    <w:tblStylePr w:type="band1Vert">
      <w:tblPr/>
      <w:tcPr>
        <w:shd w:val="clear" w:color="auto" w:fill="D6E8F7" w:themeFill="accent5" w:themeFillTint="66"/>
      </w:tcPr>
    </w:tblStylePr>
    <w:tblStylePr w:type="band1Horz">
      <w:tblPr/>
      <w:tcPr>
        <w:shd w:val="clear" w:color="auto" w:fill="CCE2F5"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1343A"/>
    <w:pPr>
      <w:spacing w:line="240" w:lineRule="auto"/>
    </w:pPr>
    <w:tblPr>
      <w:tblStyleRowBandSize w:val="1"/>
      <w:tblStyleColBandSize w:val="1"/>
      <w:tblBorders>
        <w:top w:val="single" w:sz="24" w:space="0" w:color="99C7EB" w:themeColor="accent5"/>
        <w:left w:val="single" w:sz="4" w:space="0" w:color="A6A1B5" w:themeColor="accent6"/>
        <w:bottom w:val="single" w:sz="4" w:space="0" w:color="A6A1B5" w:themeColor="accent6"/>
        <w:right w:val="single" w:sz="4" w:space="0" w:color="A6A1B5" w:themeColor="accent6"/>
        <w:insideH w:val="single" w:sz="4" w:space="0" w:color="FFFFFF" w:themeColor="background1"/>
        <w:insideV w:val="single" w:sz="4" w:space="0" w:color="FFFFFF" w:themeColor="background1"/>
      </w:tblBorders>
    </w:tblPr>
    <w:tcPr>
      <w:shd w:val="clear" w:color="auto" w:fill="F6F5F7" w:themeFill="accent6" w:themeFillTint="19"/>
    </w:tcPr>
    <w:tblStylePr w:type="firstRow">
      <w:rPr>
        <w:b/>
        <w:bCs/>
      </w:rPr>
      <w:tblPr/>
      <w:tcPr>
        <w:tcBorders>
          <w:top w:val="nil"/>
          <w:left w:val="nil"/>
          <w:bottom w:val="single" w:sz="24" w:space="0" w:color="99C7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A72" w:themeFill="accent6" w:themeFillShade="99"/>
      </w:tcPr>
    </w:tblStylePr>
    <w:tblStylePr w:type="firstCol">
      <w:rPr>
        <w:color w:val="FFFFFF" w:themeColor="background1"/>
      </w:rPr>
      <w:tblPr/>
      <w:tcPr>
        <w:tcBorders>
          <w:top w:val="nil"/>
          <w:left w:val="nil"/>
          <w:bottom w:val="nil"/>
          <w:right w:val="nil"/>
          <w:insideH w:val="single" w:sz="4" w:space="0" w:color="605A72" w:themeColor="accent6" w:themeShade="99"/>
          <w:insideV w:val="nil"/>
        </w:tcBorders>
        <w:shd w:val="clear" w:color="auto" w:fill="605A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5A72" w:themeFill="accent6" w:themeFillShade="99"/>
      </w:tcPr>
    </w:tblStylePr>
    <w:tblStylePr w:type="band1Vert">
      <w:tblPr/>
      <w:tcPr>
        <w:shd w:val="clear" w:color="auto" w:fill="DBD9E1" w:themeFill="accent6" w:themeFillTint="66"/>
      </w:tcPr>
    </w:tblStylePr>
    <w:tblStylePr w:type="band1Horz">
      <w:tblPr/>
      <w:tcPr>
        <w:shd w:val="clear" w:color="auto" w:fill="D2D0DA"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1343A"/>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1343A"/>
    <w:pPr>
      <w:spacing w:line="240" w:lineRule="auto"/>
    </w:pPr>
    <w:rPr>
      <w:color w:val="FFFFFF" w:themeColor="background1"/>
    </w:rPr>
    <w:tblPr>
      <w:tblStyleRowBandSize w:val="1"/>
      <w:tblStyleColBandSize w:val="1"/>
    </w:tblPr>
    <w:tcPr>
      <w:shd w:val="clear" w:color="auto" w:fill="00B2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1" w:themeFillShade="BF"/>
      </w:tcPr>
    </w:tblStylePr>
    <w:tblStylePr w:type="band1Vert">
      <w:tblPr/>
      <w:tcPr>
        <w:tcBorders>
          <w:top w:val="nil"/>
          <w:left w:val="nil"/>
          <w:bottom w:val="nil"/>
          <w:right w:val="nil"/>
          <w:insideH w:val="nil"/>
          <w:insideV w:val="nil"/>
        </w:tcBorders>
        <w:shd w:val="clear" w:color="auto" w:fill="00857E" w:themeFill="accent1" w:themeFillShade="BF"/>
      </w:tcPr>
    </w:tblStylePr>
    <w:tblStylePr w:type="band1Horz">
      <w:tblPr/>
      <w:tcPr>
        <w:tcBorders>
          <w:top w:val="nil"/>
          <w:left w:val="nil"/>
          <w:bottom w:val="nil"/>
          <w:right w:val="nil"/>
          <w:insideH w:val="nil"/>
          <w:insideV w:val="nil"/>
        </w:tcBorders>
        <w:shd w:val="clear" w:color="auto" w:fill="00857E" w:themeFill="accent1" w:themeFillShade="BF"/>
      </w:tcPr>
    </w:tblStylePr>
  </w:style>
  <w:style w:type="table" w:styleId="DarkList-Accent2">
    <w:name w:val="Dark List Accent 2"/>
    <w:basedOn w:val="TableNormal"/>
    <w:uiPriority w:val="70"/>
    <w:semiHidden/>
    <w:rsid w:val="0021343A"/>
    <w:pPr>
      <w:spacing w:line="240" w:lineRule="auto"/>
    </w:pPr>
    <w:rPr>
      <w:color w:val="FFFFFF" w:themeColor="background1"/>
    </w:rPr>
    <w:tblPr>
      <w:tblStyleRowBandSize w:val="1"/>
      <w:tblStyleColBandSize w:val="1"/>
    </w:tblPr>
    <w:tcPr>
      <w:shd w:val="clear" w:color="auto" w:fill="0072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2" w:themeFillShade="BF"/>
      </w:tcPr>
    </w:tblStylePr>
    <w:tblStylePr w:type="band1Vert">
      <w:tblPr/>
      <w:tcPr>
        <w:tcBorders>
          <w:top w:val="nil"/>
          <w:left w:val="nil"/>
          <w:bottom w:val="nil"/>
          <w:right w:val="nil"/>
          <w:insideH w:val="nil"/>
          <w:insideV w:val="nil"/>
        </w:tcBorders>
        <w:shd w:val="clear" w:color="auto" w:fill="00559A" w:themeFill="accent2" w:themeFillShade="BF"/>
      </w:tcPr>
    </w:tblStylePr>
    <w:tblStylePr w:type="band1Horz">
      <w:tblPr/>
      <w:tcPr>
        <w:tcBorders>
          <w:top w:val="nil"/>
          <w:left w:val="nil"/>
          <w:bottom w:val="nil"/>
          <w:right w:val="nil"/>
          <w:insideH w:val="nil"/>
          <w:insideV w:val="nil"/>
        </w:tcBorders>
        <w:shd w:val="clear" w:color="auto" w:fill="00559A" w:themeFill="accent2" w:themeFillShade="BF"/>
      </w:tcPr>
    </w:tblStylePr>
  </w:style>
  <w:style w:type="table" w:styleId="DarkList-Accent3">
    <w:name w:val="Dark List Accent 3"/>
    <w:basedOn w:val="TableNormal"/>
    <w:uiPriority w:val="70"/>
    <w:semiHidden/>
    <w:rsid w:val="0021343A"/>
    <w:pPr>
      <w:spacing w:line="240" w:lineRule="auto"/>
    </w:pPr>
    <w:rPr>
      <w:color w:val="FFFFFF" w:themeColor="background1"/>
    </w:rPr>
    <w:tblPr>
      <w:tblStyleRowBandSize w:val="1"/>
      <w:tblStyleColBandSize w:val="1"/>
    </w:tblPr>
    <w:tcPr>
      <w:shd w:val="clear" w:color="auto" w:fill="20154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3" w:themeFillShade="BF"/>
      </w:tcPr>
    </w:tblStylePr>
    <w:tblStylePr w:type="band1Vert">
      <w:tblPr/>
      <w:tcPr>
        <w:tcBorders>
          <w:top w:val="nil"/>
          <w:left w:val="nil"/>
          <w:bottom w:val="nil"/>
          <w:right w:val="nil"/>
          <w:insideH w:val="nil"/>
          <w:insideV w:val="nil"/>
        </w:tcBorders>
        <w:shd w:val="clear" w:color="auto" w:fill="170F34" w:themeFill="accent3" w:themeFillShade="BF"/>
      </w:tcPr>
    </w:tblStylePr>
    <w:tblStylePr w:type="band1Horz">
      <w:tblPr/>
      <w:tcPr>
        <w:tcBorders>
          <w:top w:val="nil"/>
          <w:left w:val="nil"/>
          <w:bottom w:val="nil"/>
          <w:right w:val="nil"/>
          <w:insideH w:val="nil"/>
          <w:insideV w:val="nil"/>
        </w:tcBorders>
        <w:shd w:val="clear" w:color="auto" w:fill="170F34" w:themeFill="accent3" w:themeFillShade="BF"/>
      </w:tcPr>
    </w:tblStylePr>
  </w:style>
  <w:style w:type="table" w:styleId="DarkList-Accent4">
    <w:name w:val="Dark List Accent 4"/>
    <w:basedOn w:val="TableNormal"/>
    <w:uiPriority w:val="70"/>
    <w:semiHidden/>
    <w:rsid w:val="0021343A"/>
    <w:pPr>
      <w:spacing w:line="240" w:lineRule="auto"/>
    </w:pPr>
    <w:rPr>
      <w:color w:val="FFFFFF" w:themeColor="background1"/>
    </w:rPr>
    <w:tblPr>
      <w:tblStyleRowBandSize w:val="1"/>
      <w:tblStyleColBandSize w:val="1"/>
    </w:tblPr>
    <w:tcPr>
      <w:shd w:val="clear" w:color="auto" w:fill="99E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4" w:themeFillShade="BF"/>
      </w:tcPr>
    </w:tblStylePr>
    <w:tblStylePr w:type="band1Vert">
      <w:tblPr/>
      <w:tcPr>
        <w:tcBorders>
          <w:top w:val="nil"/>
          <w:left w:val="nil"/>
          <w:bottom w:val="nil"/>
          <w:right w:val="nil"/>
          <w:insideH w:val="nil"/>
          <w:insideV w:val="nil"/>
        </w:tcBorders>
        <w:shd w:val="clear" w:color="auto" w:fill="50CAC4" w:themeFill="accent4" w:themeFillShade="BF"/>
      </w:tcPr>
    </w:tblStylePr>
    <w:tblStylePr w:type="band1Horz">
      <w:tblPr/>
      <w:tcPr>
        <w:tcBorders>
          <w:top w:val="nil"/>
          <w:left w:val="nil"/>
          <w:bottom w:val="nil"/>
          <w:right w:val="nil"/>
          <w:insideH w:val="nil"/>
          <w:insideV w:val="nil"/>
        </w:tcBorders>
        <w:shd w:val="clear" w:color="auto" w:fill="50CAC4" w:themeFill="accent4" w:themeFillShade="BF"/>
      </w:tcPr>
    </w:tblStylePr>
  </w:style>
  <w:style w:type="table" w:styleId="DarkList-Accent5">
    <w:name w:val="Dark List Accent 5"/>
    <w:basedOn w:val="TableNormal"/>
    <w:uiPriority w:val="70"/>
    <w:semiHidden/>
    <w:rsid w:val="0021343A"/>
    <w:pPr>
      <w:spacing w:line="240" w:lineRule="auto"/>
    </w:pPr>
    <w:rPr>
      <w:color w:val="FFFFFF" w:themeColor="background1"/>
    </w:rPr>
    <w:tblPr>
      <w:tblStyleRowBandSize w:val="1"/>
      <w:tblStyleColBandSize w:val="1"/>
    </w:tblPr>
    <w:tcPr>
      <w:shd w:val="clear" w:color="auto" w:fill="99C7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F68A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9AD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9ADB" w:themeFill="accent5" w:themeFillShade="BF"/>
      </w:tcPr>
    </w:tblStylePr>
    <w:tblStylePr w:type="band1Vert">
      <w:tblPr/>
      <w:tcPr>
        <w:tcBorders>
          <w:top w:val="nil"/>
          <w:left w:val="nil"/>
          <w:bottom w:val="nil"/>
          <w:right w:val="nil"/>
          <w:insideH w:val="nil"/>
          <w:insideV w:val="nil"/>
        </w:tcBorders>
        <w:shd w:val="clear" w:color="auto" w:fill="479ADB" w:themeFill="accent5" w:themeFillShade="BF"/>
      </w:tcPr>
    </w:tblStylePr>
    <w:tblStylePr w:type="band1Horz">
      <w:tblPr/>
      <w:tcPr>
        <w:tcBorders>
          <w:top w:val="nil"/>
          <w:left w:val="nil"/>
          <w:bottom w:val="nil"/>
          <w:right w:val="nil"/>
          <w:insideH w:val="nil"/>
          <w:insideV w:val="nil"/>
        </w:tcBorders>
        <w:shd w:val="clear" w:color="auto" w:fill="479ADB" w:themeFill="accent5" w:themeFillShade="BF"/>
      </w:tcPr>
    </w:tblStylePr>
  </w:style>
  <w:style w:type="table" w:styleId="DarkList-Accent6">
    <w:name w:val="Dark List Accent 6"/>
    <w:basedOn w:val="TableNormal"/>
    <w:uiPriority w:val="70"/>
    <w:semiHidden/>
    <w:rsid w:val="0021343A"/>
    <w:pPr>
      <w:spacing w:line="240" w:lineRule="auto"/>
    </w:pPr>
    <w:rPr>
      <w:color w:val="FFFFFF" w:themeColor="background1"/>
    </w:rPr>
    <w:tblPr>
      <w:tblStyleRowBandSize w:val="1"/>
      <w:tblStyleColBandSize w:val="1"/>
    </w:tblPr>
    <w:tcPr>
      <w:shd w:val="clear" w:color="auto" w:fill="A6A1B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F4B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70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708F" w:themeFill="accent6" w:themeFillShade="BF"/>
      </w:tcPr>
    </w:tblStylePr>
    <w:tblStylePr w:type="band1Vert">
      <w:tblPr/>
      <w:tcPr>
        <w:tcBorders>
          <w:top w:val="nil"/>
          <w:left w:val="nil"/>
          <w:bottom w:val="nil"/>
          <w:right w:val="nil"/>
          <w:insideH w:val="nil"/>
          <w:insideV w:val="nil"/>
        </w:tcBorders>
        <w:shd w:val="clear" w:color="auto" w:fill="78708F" w:themeFill="accent6" w:themeFillShade="BF"/>
      </w:tcPr>
    </w:tblStylePr>
    <w:tblStylePr w:type="band1Horz">
      <w:tblPr/>
      <w:tcPr>
        <w:tcBorders>
          <w:top w:val="nil"/>
          <w:left w:val="nil"/>
          <w:bottom w:val="nil"/>
          <w:right w:val="nil"/>
          <w:insideH w:val="nil"/>
          <w:insideV w:val="nil"/>
        </w:tcBorders>
        <w:shd w:val="clear" w:color="auto" w:fill="78708F" w:themeFill="accent6" w:themeFillShade="BF"/>
      </w:tcPr>
    </w:tblStylePr>
  </w:style>
  <w:style w:type="table" w:styleId="GridTable1Light">
    <w:name w:val="Grid Table 1 Light"/>
    <w:basedOn w:val="TableNormal"/>
    <w:uiPriority w:val="46"/>
    <w:semiHidden/>
    <w:rsid w:val="0021343A"/>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1343A"/>
    <w:pPr>
      <w:spacing w:line="240" w:lineRule="auto"/>
    </w:pPr>
    <w:tblPr>
      <w:tblStyleRowBandSize w:val="1"/>
      <w:tblStyleColBandSize w:val="1"/>
      <w:tblBorders>
        <w:top w:val="single" w:sz="4" w:space="0" w:color="7AFFF8" w:themeColor="accent1" w:themeTint="66"/>
        <w:left w:val="single" w:sz="4" w:space="0" w:color="7AFFF8" w:themeColor="accent1" w:themeTint="66"/>
        <w:bottom w:val="single" w:sz="4" w:space="0" w:color="7AFFF8" w:themeColor="accent1" w:themeTint="66"/>
        <w:right w:val="single" w:sz="4" w:space="0" w:color="7AFFF8" w:themeColor="accent1" w:themeTint="66"/>
        <w:insideH w:val="single" w:sz="4" w:space="0" w:color="7AFFF8" w:themeColor="accent1" w:themeTint="66"/>
        <w:insideV w:val="single" w:sz="4" w:space="0" w:color="7AFFF8" w:themeColor="accent1" w:themeTint="66"/>
      </w:tblBorders>
    </w:tblPr>
    <w:tblStylePr w:type="firstRow">
      <w:rPr>
        <w:b/>
        <w:bCs/>
      </w:rPr>
      <w:tblPr/>
      <w:tcPr>
        <w:tcBorders>
          <w:bottom w:val="single" w:sz="12" w:space="0" w:color="37FFF4" w:themeColor="accent1" w:themeTint="99"/>
        </w:tcBorders>
      </w:tcPr>
    </w:tblStylePr>
    <w:tblStylePr w:type="lastRow">
      <w:rPr>
        <w:b/>
        <w:bCs/>
      </w:rPr>
      <w:tblPr/>
      <w:tcPr>
        <w:tcBorders>
          <w:top w:val="double" w:sz="2" w:space="0" w:color="37FFF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1343A"/>
    <w:pPr>
      <w:spacing w:line="240" w:lineRule="auto"/>
    </w:pPr>
    <w:tblPr>
      <w:tblStyleRowBandSize w:val="1"/>
      <w:tblStyleColBandSize w:val="1"/>
      <w:tblBorders>
        <w:top w:val="single" w:sz="4" w:space="0" w:color="85C8FF" w:themeColor="accent2" w:themeTint="66"/>
        <w:left w:val="single" w:sz="4" w:space="0" w:color="85C8FF" w:themeColor="accent2" w:themeTint="66"/>
        <w:bottom w:val="single" w:sz="4" w:space="0" w:color="85C8FF" w:themeColor="accent2" w:themeTint="66"/>
        <w:right w:val="single" w:sz="4" w:space="0" w:color="85C8FF" w:themeColor="accent2" w:themeTint="66"/>
        <w:insideH w:val="single" w:sz="4" w:space="0" w:color="85C8FF" w:themeColor="accent2" w:themeTint="66"/>
        <w:insideV w:val="single" w:sz="4" w:space="0" w:color="85C8FF" w:themeColor="accent2" w:themeTint="66"/>
      </w:tblBorders>
    </w:tblPr>
    <w:tblStylePr w:type="firstRow">
      <w:rPr>
        <w:b/>
        <w:bCs/>
      </w:rPr>
      <w:tblPr/>
      <w:tcPr>
        <w:tcBorders>
          <w:bottom w:val="single" w:sz="12" w:space="0" w:color="48ADFF" w:themeColor="accent2" w:themeTint="99"/>
        </w:tcBorders>
      </w:tcPr>
    </w:tblStylePr>
    <w:tblStylePr w:type="lastRow">
      <w:rPr>
        <w:b/>
        <w:bCs/>
      </w:rPr>
      <w:tblPr/>
      <w:tcPr>
        <w:tcBorders>
          <w:top w:val="double" w:sz="2" w:space="0" w:color="48A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1343A"/>
    <w:pPr>
      <w:spacing w:line="240" w:lineRule="auto"/>
    </w:pPr>
    <w:tblPr>
      <w:tblStyleRowBandSize w:val="1"/>
      <w:tblStyleColBandSize w:val="1"/>
      <w:tblBorders>
        <w:top w:val="single" w:sz="4" w:space="0" w:color="917DD8" w:themeColor="accent3" w:themeTint="66"/>
        <w:left w:val="single" w:sz="4" w:space="0" w:color="917DD8" w:themeColor="accent3" w:themeTint="66"/>
        <w:bottom w:val="single" w:sz="4" w:space="0" w:color="917DD8" w:themeColor="accent3" w:themeTint="66"/>
        <w:right w:val="single" w:sz="4" w:space="0" w:color="917DD8" w:themeColor="accent3" w:themeTint="66"/>
        <w:insideH w:val="single" w:sz="4" w:space="0" w:color="917DD8" w:themeColor="accent3" w:themeTint="66"/>
        <w:insideV w:val="single" w:sz="4" w:space="0" w:color="917DD8" w:themeColor="accent3" w:themeTint="66"/>
      </w:tblBorders>
    </w:tblPr>
    <w:tblStylePr w:type="firstRow">
      <w:rPr>
        <w:b/>
        <w:bCs/>
      </w:rPr>
      <w:tblPr/>
      <w:tcPr>
        <w:tcBorders>
          <w:bottom w:val="single" w:sz="12" w:space="0" w:color="5B3DC5" w:themeColor="accent3" w:themeTint="99"/>
        </w:tcBorders>
      </w:tcPr>
    </w:tblStylePr>
    <w:tblStylePr w:type="lastRow">
      <w:rPr>
        <w:b/>
        <w:bCs/>
      </w:rPr>
      <w:tblPr/>
      <w:tcPr>
        <w:tcBorders>
          <w:top w:val="double" w:sz="2" w:space="0" w:color="5B3DC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1343A"/>
    <w:pPr>
      <w:spacing w:line="240" w:lineRule="auto"/>
    </w:pPr>
    <w:tblPr>
      <w:tblStyleRowBandSize w:val="1"/>
      <w:tblStyleColBandSize w:val="1"/>
      <w:tblBorders>
        <w:top w:val="single" w:sz="4" w:space="0" w:color="D6F2F1" w:themeColor="accent4" w:themeTint="66"/>
        <w:left w:val="single" w:sz="4" w:space="0" w:color="D6F2F1" w:themeColor="accent4" w:themeTint="66"/>
        <w:bottom w:val="single" w:sz="4" w:space="0" w:color="D6F2F1" w:themeColor="accent4" w:themeTint="66"/>
        <w:right w:val="single" w:sz="4" w:space="0" w:color="D6F2F1" w:themeColor="accent4" w:themeTint="66"/>
        <w:insideH w:val="single" w:sz="4" w:space="0" w:color="D6F2F1" w:themeColor="accent4" w:themeTint="66"/>
        <w:insideV w:val="single" w:sz="4" w:space="0" w:color="D6F2F1" w:themeColor="accent4" w:themeTint="66"/>
      </w:tblBorders>
    </w:tblPr>
    <w:tblStylePr w:type="firstRow">
      <w:rPr>
        <w:b/>
        <w:bCs/>
      </w:rPr>
      <w:tblPr/>
      <w:tcPr>
        <w:tcBorders>
          <w:bottom w:val="single" w:sz="12" w:space="0" w:color="C1ECEA" w:themeColor="accent4" w:themeTint="99"/>
        </w:tcBorders>
      </w:tcPr>
    </w:tblStylePr>
    <w:tblStylePr w:type="lastRow">
      <w:rPr>
        <w:b/>
        <w:bCs/>
      </w:rPr>
      <w:tblPr/>
      <w:tcPr>
        <w:tcBorders>
          <w:top w:val="double" w:sz="2" w:space="0" w:color="C1EC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1343A"/>
    <w:pPr>
      <w:spacing w:line="240" w:lineRule="auto"/>
    </w:pPr>
    <w:tblPr>
      <w:tblStyleRowBandSize w:val="1"/>
      <w:tblStyleColBandSize w:val="1"/>
      <w:tblBorders>
        <w:top w:val="single" w:sz="4" w:space="0" w:color="D6E8F7" w:themeColor="accent5" w:themeTint="66"/>
        <w:left w:val="single" w:sz="4" w:space="0" w:color="D6E8F7" w:themeColor="accent5" w:themeTint="66"/>
        <w:bottom w:val="single" w:sz="4" w:space="0" w:color="D6E8F7" w:themeColor="accent5" w:themeTint="66"/>
        <w:right w:val="single" w:sz="4" w:space="0" w:color="D6E8F7" w:themeColor="accent5" w:themeTint="66"/>
        <w:insideH w:val="single" w:sz="4" w:space="0" w:color="D6E8F7" w:themeColor="accent5" w:themeTint="66"/>
        <w:insideV w:val="single" w:sz="4" w:space="0" w:color="D6E8F7" w:themeColor="accent5" w:themeTint="66"/>
      </w:tblBorders>
    </w:tblPr>
    <w:tblStylePr w:type="firstRow">
      <w:rPr>
        <w:b/>
        <w:bCs/>
      </w:rPr>
      <w:tblPr/>
      <w:tcPr>
        <w:tcBorders>
          <w:bottom w:val="single" w:sz="12" w:space="0" w:color="C1DDF3" w:themeColor="accent5" w:themeTint="99"/>
        </w:tcBorders>
      </w:tcPr>
    </w:tblStylePr>
    <w:tblStylePr w:type="lastRow">
      <w:rPr>
        <w:b/>
        <w:bCs/>
      </w:rPr>
      <w:tblPr/>
      <w:tcPr>
        <w:tcBorders>
          <w:top w:val="double" w:sz="2" w:space="0" w:color="C1DDF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1343A"/>
    <w:pPr>
      <w:spacing w:line="240" w:lineRule="auto"/>
    </w:pPr>
    <w:tblPr>
      <w:tblStyleRowBandSize w:val="1"/>
      <w:tblStyleColBandSize w:val="1"/>
      <w:tblBorders>
        <w:top w:val="single" w:sz="4" w:space="0" w:color="DBD9E1" w:themeColor="accent6" w:themeTint="66"/>
        <w:left w:val="single" w:sz="4" w:space="0" w:color="DBD9E1" w:themeColor="accent6" w:themeTint="66"/>
        <w:bottom w:val="single" w:sz="4" w:space="0" w:color="DBD9E1" w:themeColor="accent6" w:themeTint="66"/>
        <w:right w:val="single" w:sz="4" w:space="0" w:color="DBD9E1" w:themeColor="accent6" w:themeTint="66"/>
        <w:insideH w:val="single" w:sz="4" w:space="0" w:color="DBD9E1" w:themeColor="accent6" w:themeTint="66"/>
        <w:insideV w:val="single" w:sz="4" w:space="0" w:color="DBD9E1" w:themeColor="accent6" w:themeTint="66"/>
      </w:tblBorders>
    </w:tblPr>
    <w:tblStylePr w:type="firstRow">
      <w:rPr>
        <w:b/>
        <w:bCs/>
      </w:rPr>
      <w:tblPr/>
      <w:tcPr>
        <w:tcBorders>
          <w:bottom w:val="single" w:sz="12" w:space="0" w:color="C9C6D2" w:themeColor="accent6" w:themeTint="99"/>
        </w:tcBorders>
      </w:tcPr>
    </w:tblStylePr>
    <w:tblStylePr w:type="lastRow">
      <w:rPr>
        <w:b/>
        <w:bCs/>
      </w:rPr>
      <w:tblPr/>
      <w:tcPr>
        <w:tcBorders>
          <w:top w:val="double" w:sz="2" w:space="0" w:color="C9C6D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1343A"/>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1343A"/>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GridTable2-Accent2">
    <w:name w:val="Grid Table 2 Accent 2"/>
    <w:basedOn w:val="TableNormal"/>
    <w:uiPriority w:val="47"/>
    <w:semiHidden/>
    <w:rsid w:val="0021343A"/>
    <w:pPr>
      <w:spacing w:line="240" w:lineRule="auto"/>
    </w:pPr>
    <w:tblPr>
      <w:tblStyleRowBandSize w:val="1"/>
      <w:tblStyleColBandSize w:val="1"/>
      <w:tblBorders>
        <w:top w:val="single" w:sz="2" w:space="0" w:color="48ADFF" w:themeColor="accent2" w:themeTint="99"/>
        <w:bottom w:val="single" w:sz="2" w:space="0" w:color="48ADFF" w:themeColor="accent2" w:themeTint="99"/>
        <w:insideH w:val="single" w:sz="2" w:space="0" w:color="48ADFF" w:themeColor="accent2" w:themeTint="99"/>
        <w:insideV w:val="single" w:sz="2" w:space="0" w:color="48ADFF" w:themeColor="accent2" w:themeTint="99"/>
      </w:tblBorders>
    </w:tblPr>
    <w:tblStylePr w:type="firstRow">
      <w:rPr>
        <w:b/>
        <w:bCs/>
      </w:rPr>
      <w:tblPr/>
      <w:tcPr>
        <w:tcBorders>
          <w:top w:val="nil"/>
          <w:bottom w:val="single" w:sz="12" w:space="0" w:color="48ADFF" w:themeColor="accent2" w:themeTint="99"/>
          <w:insideH w:val="nil"/>
          <w:insideV w:val="nil"/>
        </w:tcBorders>
        <w:shd w:val="clear" w:color="auto" w:fill="FFFFFF" w:themeFill="background1"/>
      </w:tcPr>
    </w:tblStylePr>
    <w:tblStylePr w:type="lastRow">
      <w:rPr>
        <w:b/>
        <w:bCs/>
      </w:rPr>
      <w:tblPr/>
      <w:tcPr>
        <w:tcBorders>
          <w:top w:val="double" w:sz="2" w:space="0" w:color="48A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GridTable2-Accent3">
    <w:name w:val="Grid Table 2 Accent 3"/>
    <w:basedOn w:val="TableNormal"/>
    <w:uiPriority w:val="47"/>
    <w:semiHidden/>
    <w:rsid w:val="0021343A"/>
    <w:pPr>
      <w:spacing w:line="240" w:lineRule="auto"/>
    </w:pPr>
    <w:tblPr>
      <w:tblStyleRowBandSize w:val="1"/>
      <w:tblStyleColBandSize w:val="1"/>
      <w:tblBorders>
        <w:top w:val="single" w:sz="2" w:space="0" w:color="5B3DC5" w:themeColor="accent3" w:themeTint="99"/>
        <w:bottom w:val="single" w:sz="2" w:space="0" w:color="5B3DC5" w:themeColor="accent3" w:themeTint="99"/>
        <w:insideH w:val="single" w:sz="2" w:space="0" w:color="5B3DC5" w:themeColor="accent3" w:themeTint="99"/>
        <w:insideV w:val="single" w:sz="2" w:space="0" w:color="5B3DC5" w:themeColor="accent3" w:themeTint="99"/>
      </w:tblBorders>
    </w:tblPr>
    <w:tblStylePr w:type="firstRow">
      <w:rPr>
        <w:b/>
        <w:bCs/>
      </w:rPr>
      <w:tblPr/>
      <w:tcPr>
        <w:tcBorders>
          <w:top w:val="nil"/>
          <w:bottom w:val="single" w:sz="12" w:space="0" w:color="5B3DC5" w:themeColor="accent3" w:themeTint="99"/>
          <w:insideH w:val="nil"/>
          <w:insideV w:val="nil"/>
        </w:tcBorders>
        <w:shd w:val="clear" w:color="auto" w:fill="FFFFFF" w:themeFill="background1"/>
      </w:tcPr>
    </w:tblStylePr>
    <w:tblStylePr w:type="lastRow">
      <w:rPr>
        <w:b/>
        <w:bCs/>
      </w:rPr>
      <w:tblPr/>
      <w:tcPr>
        <w:tcBorders>
          <w:top w:val="double" w:sz="2" w:space="0" w:color="5B3DC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GridTable2-Accent4">
    <w:name w:val="Grid Table 2 Accent 4"/>
    <w:basedOn w:val="TableNormal"/>
    <w:uiPriority w:val="47"/>
    <w:semiHidden/>
    <w:rsid w:val="0021343A"/>
    <w:pPr>
      <w:spacing w:line="240" w:lineRule="auto"/>
    </w:pPr>
    <w:tblPr>
      <w:tblStyleRowBandSize w:val="1"/>
      <w:tblStyleColBandSize w:val="1"/>
      <w:tblBorders>
        <w:top w:val="single" w:sz="2" w:space="0" w:color="C1ECEA" w:themeColor="accent4" w:themeTint="99"/>
        <w:bottom w:val="single" w:sz="2" w:space="0" w:color="C1ECEA" w:themeColor="accent4" w:themeTint="99"/>
        <w:insideH w:val="single" w:sz="2" w:space="0" w:color="C1ECEA" w:themeColor="accent4" w:themeTint="99"/>
        <w:insideV w:val="single" w:sz="2" w:space="0" w:color="C1ECEA" w:themeColor="accent4" w:themeTint="99"/>
      </w:tblBorders>
    </w:tblPr>
    <w:tblStylePr w:type="firstRow">
      <w:rPr>
        <w:b/>
        <w:bCs/>
      </w:rPr>
      <w:tblPr/>
      <w:tcPr>
        <w:tcBorders>
          <w:top w:val="nil"/>
          <w:bottom w:val="single" w:sz="12" w:space="0" w:color="C1ECEA" w:themeColor="accent4" w:themeTint="99"/>
          <w:insideH w:val="nil"/>
          <w:insideV w:val="nil"/>
        </w:tcBorders>
        <w:shd w:val="clear" w:color="auto" w:fill="FFFFFF" w:themeFill="background1"/>
      </w:tcPr>
    </w:tblStylePr>
    <w:tblStylePr w:type="lastRow">
      <w:rPr>
        <w:b/>
        <w:bCs/>
      </w:rPr>
      <w:tblPr/>
      <w:tcPr>
        <w:tcBorders>
          <w:top w:val="double" w:sz="2" w:space="0" w:color="C1EC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GridTable2-Accent5">
    <w:name w:val="Grid Table 2 Accent 5"/>
    <w:basedOn w:val="TableNormal"/>
    <w:uiPriority w:val="47"/>
    <w:semiHidden/>
    <w:rsid w:val="0021343A"/>
    <w:pPr>
      <w:spacing w:line="240" w:lineRule="auto"/>
    </w:pPr>
    <w:tblPr>
      <w:tblStyleRowBandSize w:val="1"/>
      <w:tblStyleColBandSize w:val="1"/>
      <w:tblBorders>
        <w:top w:val="single" w:sz="2" w:space="0" w:color="C1DDF3" w:themeColor="accent5" w:themeTint="99"/>
        <w:bottom w:val="single" w:sz="2" w:space="0" w:color="C1DDF3" w:themeColor="accent5" w:themeTint="99"/>
        <w:insideH w:val="single" w:sz="2" w:space="0" w:color="C1DDF3" w:themeColor="accent5" w:themeTint="99"/>
        <w:insideV w:val="single" w:sz="2" w:space="0" w:color="C1DDF3" w:themeColor="accent5" w:themeTint="99"/>
      </w:tblBorders>
    </w:tblPr>
    <w:tblStylePr w:type="firstRow">
      <w:rPr>
        <w:b/>
        <w:bCs/>
      </w:rPr>
      <w:tblPr/>
      <w:tcPr>
        <w:tcBorders>
          <w:top w:val="nil"/>
          <w:bottom w:val="single" w:sz="12" w:space="0" w:color="C1DDF3" w:themeColor="accent5" w:themeTint="99"/>
          <w:insideH w:val="nil"/>
          <w:insideV w:val="nil"/>
        </w:tcBorders>
        <w:shd w:val="clear" w:color="auto" w:fill="FFFFFF" w:themeFill="background1"/>
      </w:tcPr>
    </w:tblStylePr>
    <w:tblStylePr w:type="lastRow">
      <w:rPr>
        <w:b/>
        <w:bCs/>
      </w:rPr>
      <w:tblPr/>
      <w:tcPr>
        <w:tcBorders>
          <w:top w:val="double" w:sz="2" w:space="0" w:color="C1DD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GridTable2-Accent6">
    <w:name w:val="Grid Table 2 Accent 6"/>
    <w:basedOn w:val="TableNormal"/>
    <w:uiPriority w:val="47"/>
    <w:semiHidden/>
    <w:rsid w:val="0021343A"/>
    <w:pPr>
      <w:spacing w:line="240" w:lineRule="auto"/>
    </w:pPr>
    <w:tblPr>
      <w:tblStyleRowBandSize w:val="1"/>
      <w:tblStyleColBandSize w:val="1"/>
      <w:tblBorders>
        <w:top w:val="single" w:sz="2" w:space="0" w:color="C9C6D2" w:themeColor="accent6" w:themeTint="99"/>
        <w:bottom w:val="single" w:sz="2" w:space="0" w:color="C9C6D2" w:themeColor="accent6" w:themeTint="99"/>
        <w:insideH w:val="single" w:sz="2" w:space="0" w:color="C9C6D2" w:themeColor="accent6" w:themeTint="99"/>
        <w:insideV w:val="single" w:sz="2" w:space="0" w:color="C9C6D2" w:themeColor="accent6" w:themeTint="99"/>
      </w:tblBorders>
    </w:tblPr>
    <w:tblStylePr w:type="firstRow">
      <w:rPr>
        <w:b/>
        <w:bCs/>
      </w:rPr>
      <w:tblPr/>
      <w:tcPr>
        <w:tcBorders>
          <w:top w:val="nil"/>
          <w:bottom w:val="single" w:sz="12" w:space="0" w:color="C9C6D2" w:themeColor="accent6" w:themeTint="99"/>
          <w:insideH w:val="nil"/>
          <w:insideV w:val="nil"/>
        </w:tcBorders>
        <w:shd w:val="clear" w:color="auto" w:fill="FFFFFF" w:themeFill="background1"/>
      </w:tcPr>
    </w:tblStylePr>
    <w:tblStylePr w:type="lastRow">
      <w:rPr>
        <w:b/>
        <w:bCs/>
      </w:rPr>
      <w:tblPr/>
      <w:tcPr>
        <w:tcBorders>
          <w:top w:val="double" w:sz="2" w:space="0" w:color="C9C6D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GridTable3">
    <w:name w:val="Grid Table 3"/>
    <w:basedOn w:val="TableNormal"/>
    <w:uiPriority w:val="48"/>
    <w:semiHidden/>
    <w:rsid w:val="0021343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1343A"/>
    <w:pPr>
      <w:spacing w:line="240" w:lineRule="auto"/>
    </w:pPr>
    <w:tblPr>
      <w:tblStyleRowBandSize w:val="1"/>
      <w:tblStyleColBandSize w:val="1"/>
      <w:tblBorders>
        <w:top w:val="single" w:sz="4" w:space="0" w:color="37FFF4" w:themeColor="accent1" w:themeTint="99"/>
        <w:left w:val="single" w:sz="4" w:space="0" w:color="37FFF4" w:themeColor="accent1" w:themeTint="99"/>
        <w:bottom w:val="single" w:sz="4" w:space="0" w:color="37FFF4" w:themeColor="accent1" w:themeTint="99"/>
        <w:right w:val="single" w:sz="4" w:space="0" w:color="37FFF4" w:themeColor="accent1" w:themeTint="99"/>
        <w:insideH w:val="single" w:sz="4" w:space="0" w:color="37FFF4" w:themeColor="accent1" w:themeTint="99"/>
        <w:insideV w:val="single" w:sz="4" w:space="0" w:color="37FF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1" w:themeFillTint="33"/>
      </w:tcPr>
    </w:tblStylePr>
    <w:tblStylePr w:type="band1Horz">
      <w:tblPr/>
      <w:tcPr>
        <w:shd w:val="clear" w:color="auto" w:fill="BCFFFB" w:themeFill="accent1" w:themeFillTint="33"/>
      </w:tcPr>
    </w:tblStylePr>
    <w:tblStylePr w:type="neCell">
      <w:tblPr/>
      <w:tcPr>
        <w:tcBorders>
          <w:bottom w:val="single" w:sz="4" w:space="0" w:color="37FFF4" w:themeColor="accent1" w:themeTint="99"/>
        </w:tcBorders>
      </w:tcPr>
    </w:tblStylePr>
    <w:tblStylePr w:type="nwCell">
      <w:tblPr/>
      <w:tcPr>
        <w:tcBorders>
          <w:bottom w:val="single" w:sz="4" w:space="0" w:color="37FFF4" w:themeColor="accent1" w:themeTint="99"/>
        </w:tcBorders>
      </w:tcPr>
    </w:tblStylePr>
    <w:tblStylePr w:type="seCell">
      <w:tblPr/>
      <w:tcPr>
        <w:tcBorders>
          <w:top w:val="single" w:sz="4" w:space="0" w:color="37FFF4" w:themeColor="accent1" w:themeTint="99"/>
        </w:tcBorders>
      </w:tcPr>
    </w:tblStylePr>
    <w:tblStylePr w:type="swCell">
      <w:tblPr/>
      <w:tcPr>
        <w:tcBorders>
          <w:top w:val="single" w:sz="4" w:space="0" w:color="37FFF4" w:themeColor="accent1" w:themeTint="99"/>
        </w:tcBorders>
      </w:tcPr>
    </w:tblStylePr>
  </w:style>
  <w:style w:type="table" w:styleId="GridTable3-Accent2">
    <w:name w:val="Grid Table 3 Accent 2"/>
    <w:basedOn w:val="TableNormal"/>
    <w:uiPriority w:val="48"/>
    <w:semiHidden/>
    <w:rsid w:val="0021343A"/>
    <w:pPr>
      <w:spacing w:line="240" w:lineRule="auto"/>
    </w:p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2" w:themeFillTint="33"/>
      </w:tcPr>
    </w:tblStylePr>
    <w:tblStylePr w:type="band1Horz">
      <w:tblPr/>
      <w:tcPr>
        <w:shd w:val="clear" w:color="auto" w:fill="C2E3FF" w:themeFill="accent2" w:themeFillTint="33"/>
      </w:tcPr>
    </w:tblStylePr>
    <w:tblStylePr w:type="neCell">
      <w:tblPr/>
      <w:tcPr>
        <w:tcBorders>
          <w:bottom w:val="single" w:sz="4" w:space="0" w:color="48ADFF" w:themeColor="accent2" w:themeTint="99"/>
        </w:tcBorders>
      </w:tcPr>
    </w:tblStylePr>
    <w:tblStylePr w:type="nwCell">
      <w:tblPr/>
      <w:tcPr>
        <w:tcBorders>
          <w:bottom w:val="single" w:sz="4" w:space="0" w:color="48ADFF" w:themeColor="accent2" w:themeTint="99"/>
        </w:tcBorders>
      </w:tcPr>
    </w:tblStylePr>
    <w:tblStylePr w:type="seCell">
      <w:tblPr/>
      <w:tcPr>
        <w:tcBorders>
          <w:top w:val="single" w:sz="4" w:space="0" w:color="48ADFF" w:themeColor="accent2" w:themeTint="99"/>
        </w:tcBorders>
      </w:tcPr>
    </w:tblStylePr>
    <w:tblStylePr w:type="swCell">
      <w:tblPr/>
      <w:tcPr>
        <w:tcBorders>
          <w:top w:val="single" w:sz="4" w:space="0" w:color="48ADFF" w:themeColor="accent2" w:themeTint="99"/>
        </w:tcBorders>
      </w:tcPr>
    </w:tblStylePr>
  </w:style>
  <w:style w:type="table" w:styleId="GridTable3-Accent3">
    <w:name w:val="Grid Table 3 Accent 3"/>
    <w:basedOn w:val="TableNormal"/>
    <w:uiPriority w:val="48"/>
    <w:semiHidden/>
    <w:rsid w:val="0021343A"/>
    <w:pPr>
      <w:spacing w:line="240" w:lineRule="auto"/>
    </w:pPr>
    <w:tblPr>
      <w:tblStyleRowBandSize w:val="1"/>
      <w:tblStyleColBandSize w:val="1"/>
      <w:tblBorders>
        <w:top w:val="single" w:sz="4" w:space="0" w:color="5B3DC5" w:themeColor="accent3" w:themeTint="99"/>
        <w:left w:val="single" w:sz="4" w:space="0" w:color="5B3DC5" w:themeColor="accent3" w:themeTint="99"/>
        <w:bottom w:val="single" w:sz="4" w:space="0" w:color="5B3DC5" w:themeColor="accent3" w:themeTint="99"/>
        <w:right w:val="single" w:sz="4" w:space="0" w:color="5B3DC5" w:themeColor="accent3" w:themeTint="99"/>
        <w:insideH w:val="single" w:sz="4" w:space="0" w:color="5B3DC5" w:themeColor="accent3" w:themeTint="99"/>
        <w:insideV w:val="single" w:sz="4" w:space="0" w:color="5B3DC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3" w:themeFillTint="33"/>
      </w:tcPr>
    </w:tblStylePr>
    <w:tblStylePr w:type="band1Horz">
      <w:tblPr/>
      <w:tcPr>
        <w:shd w:val="clear" w:color="auto" w:fill="C8BEEC" w:themeFill="accent3" w:themeFillTint="33"/>
      </w:tcPr>
    </w:tblStylePr>
    <w:tblStylePr w:type="neCell">
      <w:tblPr/>
      <w:tcPr>
        <w:tcBorders>
          <w:bottom w:val="single" w:sz="4" w:space="0" w:color="5B3DC5" w:themeColor="accent3" w:themeTint="99"/>
        </w:tcBorders>
      </w:tcPr>
    </w:tblStylePr>
    <w:tblStylePr w:type="nwCell">
      <w:tblPr/>
      <w:tcPr>
        <w:tcBorders>
          <w:bottom w:val="single" w:sz="4" w:space="0" w:color="5B3DC5" w:themeColor="accent3" w:themeTint="99"/>
        </w:tcBorders>
      </w:tcPr>
    </w:tblStylePr>
    <w:tblStylePr w:type="seCell">
      <w:tblPr/>
      <w:tcPr>
        <w:tcBorders>
          <w:top w:val="single" w:sz="4" w:space="0" w:color="5B3DC5" w:themeColor="accent3" w:themeTint="99"/>
        </w:tcBorders>
      </w:tcPr>
    </w:tblStylePr>
    <w:tblStylePr w:type="swCell">
      <w:tblPr/>
      <w:tcPr>
        <w:tcBorders>
          <w:top w:val="single" w:sz="4" w:space="0" w:color="5B3DC5" w:themeColor="accent3" w:themeTint="99"/>
        </w:tcBorders>
      </w:tcPr>
    </w:tblStylePr>
  </w:style>
  <w:style w:type="table" w:styleId="GridTable3-Accent4">
    <w:name w:val="Grid Table 3 Accent 4"/>
    <w:basedOn w:val="TableNormal"/>
    <w:uiPriority w:val="48"/>
    <w:semiHidden/>
    <w:rsid w:val="0021343A"/>
    <w:pPr>
      <w:spacing w:line="240" w:lineRule="auto"/>
    </w:pPr>
    <w:tblPr>
      <w:tblStyleRowBandSize w:val="1"/>
      <w:tblStyleColBandSize w:val="1"/>
      <w:tblBorders>
        <w:top w:val="single" w:sz="4" w:space="0" w:color="C1ECEA" w:themeColor="accent4" w:themeTint="99"/>
        <w:left w:val="single" w:sz="4" w:space="0" w:color="C1ECEA" w:themeColor="accent4" w:themeTint="99"/>
        <w:bottom w:val="single" w:sz="4" w:space="0" w:color="C1ECEA" w:themeColor="accent4" w:themeTint="99"/>
        <w:right w:val="single" w:sz="4" w:space="0" w:color="C1ECEA" w:themeColor="accent4" w:themeTint="99"/>
        <w:insideH w:val="single" w:sz="4" w:space="0" w:color="C1ECEA" w:themeColor="accent4" w:themeTint="99"/>
        <w:insideV w:val="single" w:sz="4" w:space="0" w:color="C1EC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4" w:themeFillTint="33"/>
      </w:tcPr>
    </w:tblStylePr>
    <w:tblStylePr w:type="band1Horz">
      <w:tblPr/>
      <w:tcPr>
        <w:shd w:val="clear" w:color="auto" w:fill="EAF8F8" w:themeFill="accent4" w:themeFillTint="33"/>
      </w:tcPr>
    </w:tblStylePr>
    <w:tblStylePr w:type="neCell">
      <w:tblPr/>
      <w:tcPr>
        <w:tcBorders>
          <w:bottom w:val="single" w:sz="4" w:space="0" w:color="C1ECEA" w:themeColor="accent4" w:themeTint="99"/>
        </w:tcBorders>
      </w:tcPr>
    </w:tblStylePr>
    <w:tblStylePr w:type="nwCell">
      <w:tblPr/>
      <w:tcPr>
        <w:tcBorders>
          <w:bottom w:val="single" w:sz="4" w:space="0" w:color="C1ECEA" w:themeColor="accent4" w:themeTint="99"/>
        </w:tcBorders>
      </w:tcPr>
    </w:tblStylePr>
    <w:tblStylePr w:type="seCell">
      <w:tblPr/>
      <w:tcPr>
        <w:tcBorders>
          <w:top w:val="single" w:sz="4" w:space="0" w:color="C1ECEA" w:themeColor="accent4" w:themeTint="99"/>
        </w:tcBorders>
      </w:tcPr>
    </w:tblStylePr>
    <w:tblStylePr w:type="swCell">
      <w:tblPr/>
      <w:tcPr>
        <w:tcBorders>
          <w:top w:val="single" w:sz="4" w:space="0" w:color="C1ECEA" w:themeColor="accent4" w:themeTint="99"/>
        </w:tcBorders>
      </w:tcPr>
    </w:tblStylePr>
  </w:style>
  <w:style w:type="table" w:styleId="GridTable3-Accent5">
    <w:name w:val="Grid Table 3 Accent 5"/>
    <w:basedOn w:val="TableNormal"/>
    <w:uiPriority w:val="48"/>
    <w:semiHidden/>
    <w:rsid w:val="0021343A"/>
    <w:pPr>
      <w:spacing w:line="240" w:lineRule="auto"/>
    </w:pPr>
    <w:tblPr>
      <w:tblStyleRowBandSize w:val="1"/>
      <w:tblStyleColBandSize w:val="1"/>
      <w:tblBorders>
        <w:top w:val="single" w:sz="4" w:space="0" w:color="C1DDF3" w:themeColor="accent5" w:themeTint="99"/>
        <w:left w:val="single" w:sz="4" w:space="0" w:color="C1DDF3" w:themeColor="accent5" w:themeTint="99"/>
        <w:bottom w:val="single" w:sz="4" w:space="0" w:color="C1DDF3" w:themeColor="accent5" w:themeTint="99"/>
        <w:right w:val="single" w:sz="4" w:space="0" w:color="C1DDF3" w:themeColor="accent5" w:themeTint="99"/>
        <w:insideH w:val="single" w:sz="4" w:space="0" w:color="C1DDF3" w:themeColor="accent5" w:themeTint="99"/>
        <w:insideV w:val="single" w:sz="4" w:space="0" w:color="C1DD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3FB" w:themeFill="accent5" w:themeFillTint="33"/>
      </w:tcPr>
    </w:tblStylePr>
    <w:tblStylePr w:type="band1Horz">
      <w:tblPr/>
      <w:tcPr>
        <w:shd w:val="clear" w:color="auto" w:fill="EAF3FB" w:themeFill="accent5" w:themeFillTint="33"/>
      </w:tcPr>
    </w:tblStylePr>
    <w:tblStylePr w:type="neCell">
      <w:tblPr/>
      <w:tcPr>
        <w:tcBorders>
          <w:bottom w:val="single" w:sz="4" w:space="0" w:color="C1DDF3" w:themeColor="accent5" w:themeTint="99"/>
        </w:tcBorders>
      </w:tcPr>
    </w:tblStylePr>
    <w:tblStylePr w:type="nwCell">
      <w:tblPr/>
      <w:tcPr>
        <w:tcBorders>
          <w:bottom w:val="single" w:sz="4" w:space="0" w:color="C1DDF3" w:themeColor="accent5" w:themeTint="99"/>
        </w:tcBorders>
      </w:tcPr>
    </w:tblStylePr>
    <w:tblStylePr w:type="seCell">
      <w:tblPr/>
      <w:tcPr>
        <w:tcBorders>
          <w:top w:val="single" w:sz="4" w:space="0" w:color="C1DDF3" w:themeColor="accent5" w:themeTint="99"/>
        </w:tcBorders>
      </w:tcPr>
    </w:tblStylePr>
    <w:tblStylePr w:type="swCell">
      <w:tblPr/>
      <w:tcPr>
        <w:tcBorders>
          <w:top w:val="single" w:sz="4" w:space="0" w:color="C1DDF3" w:themeColor="accent5" w:themeTint="99"/>
        </w:tcBorders>
      </w:tcPr>
    </w:tblStylePr>
  </w:style>
  <w:style w:type="table" w:styleId="GridTable3-Accent6">
    <w:name w:val="Grid Table 3 Accent 6"/>
    <w:basedOn w:val="TableNormal"/>
    <w:uiPriority w:val="48"/>
    <w:semiHidden/>
    <w:rsid w:val="0021343A"/>
    <w:pPr>
      <w:spacing w:line="240" w:lineRule="auto"/>
    </w:p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insideV w:val="single" w:sz="4" w:space="0" w:color="C9C6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CF0" w:themeFill="accent6" w:themeFillTint="33"/>
      </w:tcPr>
    </w:tblStylePr>
    <w:tblStylePr w:type="band1Horz">
      <w:tblPr/>
      <w:tcPr>
        <w:shd w:val="clear" w:color="auto" w:fill="EDECF0" w:themeFill="accent6" w:themeFillTint="33"/>
      </w:tcPr>
    </w:tblStylePr>
    <w:tblStylePr w:type="neCell">
      <w:tblPr/>
      <w:tcPr>
        <w:tcBorders>
          <w:bottom w:val="single" w:sz="4" w:space="0" w:color="C9C6D2" w:themeColor="accent6" w:themeTint="99"/>
        </w:tcBorders>
      </w:tcPr>
    </w:tblStylePr>
    <w:tblStylePr w:type="nwCell">
      <w:tblPr/>
      <w:tcPr>
        <w:tcBorders>
          <w:bottom w:val="single" w:sz="4" w:space="0" w:color="C9C6D2" w:themeColor="accent6" w:themeTint="99"/>
        </w:tcBorders>
      </w:tcPr>
    </w:tblStylePr>
    <w:tblStylePr w:type="seCell">
      <w:tblPr/>
      <w:tcPr>
        <w:tcBorders>
          <w:top w:val="single" w:sz="4" w:space="0" w:color="C9C6D2" w:themeColor="accent6" w:themeTint="99"/>
        </w:tcBorders>
      </w:tcPr>
    </w:tblStylePr>
    <w:tblStylePr w:type="swCell">
      <w:tblPr/>
      <w:tcPr>
        <w:tcBorders>
          <w:top w:val="single" w:sz="4" w:space="0" w:color="C9C6D2" w:themeColor="accent6" w:themeTint="99"/>
        </w:tcBorders>
      </w:tcPr>
    </w:tblStylePr>
  </w:style>
  <w:style w:type="table" w:styleId="GridTable4">
    <w:name w:val="Grid Table 4"/>
    <w:basedOn w:val="TableNormal"/>
    <w:uiPriority w:val="49"/>
    <w:semiHidden/>
    <w:rsid w:val="0021343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rsid w:val="0021343A"/>
    <w:pPr>
      <w:spacing w:line="240" w:lineRule="auto"/>
    </w:pPr>
    <w:tblPr>
      <w:tblStyleRowBandSize w:val="1"/>
      <w:tblStyleColBandSize w:val="1"/>
      <w:tblBorders>
        <w:top w:val="single" w:sz="4" w:space="0" w:color="37FFF4" w:themeColor="accent1" w:themeTint="99"/>
        <w:left w:val="single" w:sz="4" w:space="0" w:color="37FFF4" w:themeColor="accent1" w:themeTint="99"/>
        <w:bottom w:val="single" w:sz="4" w:space="0" w:color="37FFF4" w:themeColor="accent1" w:themeTint="99"/>
        <w:right w:val="single" w:sz="4" w:space="0" w:color="37FFF4" w:themeColor="accent1" w:themeTint="99"/>
        <w:insideH w:val="single" w:sz="4" w:space="0" w:color="37FFF4" w:themeColor="accent1" w:themeTint="99"/>
        <w:insideV w:val="single" w:sz="4" w:space="0" w:color="37FFF4" w:themeColor="accent1" w:themeTint="99"/>
      </w:tblBorders>
    </w:tblPr>
    <w:tblStylePr w:type="firstRow">
      <w:rPr>
        <w:b/>
        <w:bCs/>
        <w:color w:val="FFFFFF" w:themeColor="background1"/>
      </w:rPr>
      <w:tblPr/>
      <w:tcPr>
        <w:tcBorders>
          <w:top w:val="single" w:sz="4" w:space="0" w:color="00B2A9" w:themeColor="accent1"/>
          <w:left w:val="single" w:sz="4" w:space="0" w:color="00B2A9" w:themeColor="accent1"/>
          <w:bottom w:val="single" w:sz="4" w:space="0" w:color="00B2A9" w:themeColor="accent1"/>
          <w:right w:val="single" w:sz="4" w:space="0" w:color="00B2A9" w:themeColor="accent1"/>
          <w:insideH w:val="nil"/>
          <w:insideV w:val="nil"/>
        </w:tcBorders>
        <w:shd w:val="clear" w:color="auto" w:fill="00B2A9" w:themeFill="accent1"/>
      </w:tcPr>
    </w:tblStylePr>
    <w:tblStylePr w:type="lastRow">
      <w:rPr>
        <w:b/>
        <w:bCs/>
      </w:rPr>
      <w:tblPr/>
      <w:tcPr>
        <w:tcBorders>
          <w:top w:val="double" w:sz="4" w:space="0" w:color="00B2A9" w:themeColor="accent1"/>
        </w:tcBorders>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GridTable4-Accent2">
    <w:name w:val="Grid Table 4 Accent 2"/>
    <w:basedOn w:val="TableNormal"/>
    <w:uiPriority w:val="49"/>
    <w:semiHidden/>
    <w:rsid w:val="0021343A"/>
    <w:pPr>
      <w:spacing w:line="240" w:lineRule="auto"/>
    </w:p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color w:val="FFFFFF" w:themeColor="background1"/>
      </w:rPr>
      <w:tblPr/>
      <w:tcPr>
        <w:tcBorders>
          <w:top w:val="single" w:sz="4" w:space="0" w:color="0072CE" w:themeColor="accent2"/>
          <w:left w:val="single" w:sz="4" w:space="0" w:color="0072CE" w:themeColor="accent2"/>
          <w:bottom w:val="single" w:sz="4" w:space="0" w:color="0072CE" w:themeColor="accent2"/>
          <w:right w:val="single" w:sz="4" w:space="0" w:color="0072CE" w:themeColor="accent2"/>
          <w:insideH w:val="nil"/>
          <w:insideV w:val="nil"/>
        </w:tcBorders>
        <w:shd w:val="clear" w:color="auto" w:fill="0072CE" w:themeFill="accent2"/>
      </w:tcPr>
    </w:tblStylePr>
    <w:tblStylePr w:type="lastRow">
      <w:rPr>
        <w:b/>
        <w:bCs/>
      </w:rPr>
      <w:tblPr/>
      <w:tcPr>
        <w:tcBorders>
          <w:top w:val="double" w:sz="4" w:space="0" w:color="0072CE" w:themeColor="accent2"/>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GridTable4-Accent3">
    <w:name w:val="Grid Table 4 Accent 3"/>
    <w:basedOn w:val="TableNormal"/>
    <w:uiPriority w:val="49"/>
    <w:semiHidden/>
    <w:rsid w:val="0021343A"/>
    <w:pPr>
      <w:spacing w:line="240" w:lineRule="auto"/>
    </w:pPr>
    <w:tblPr>
      <w:tblStyleRowBandSize w:val="1"/>
      <w:tblStyleColBandSize w:val="1"/>
      <w:tblBorders>
        <w:top w:val="single" w:sz="4" w:space="0" w:color="5B3DC5" w:themeColor="accent3" w:themeTint="99"/>
        <w:left w:val="single" w:sz="4" w:space="0" w:color="5B3DC5" w:themeColor="accent3" w:themeTint="99"/>
        <w:bottom w:val="single" w:sz="4" w:space="0" w:color="5B3DC5" w:themeColor="accent3" w:themeTint="99"/>
        <w:right w:val="single" w:sz="4" w:space="0" w:color="5B3DC5" w:themeColor="accent3" w:themeTint="99"/>
        <w:insideH w:val="single" w:sz="4" w:space="0" w:color="5B3DC5" w:themeColor="accent3" w:themeTint="99"/>
        <w:insideV w:val="single" w:sz="4" w:space="0" w:color="5B3DC5" w:themeColor="accent3" w:themeTint="99"/>
      </w:tblBorders>
    </w:tblPr>
    <w:tblStylePr w:type="firstRow">
      <w:rPr>
        <w:b/>
        <w:bCs/>
        <w:color w:val="FFFFFF" w:themeColor="background1"/>
      </w:rPr>
      <w:tblPr/>
      <w:tcPr>
        <w:tcBorders>
          <w:top w:val="single" w:sz="4" w:space="0" w:color="201547" w:themeColor="accent3"/>
          <w:left w:val="single" w:sz="4" w:space="0" w:color="201547" w:themeColor="accent3"/>
          <w:bottom w:val="single" w:sz="4" w:space="0" w:color="201547" w:themeColor="accent3"/>
          <w:right w:val="single" w:sz="4" w:space="0" w:color="201547" w:themeColor="accent3"/>
          <w:insideH w:val="nil"/>
          <w:insideV w:val="nil"/>
        </w:tcBorders>
        <w:shd w:val="clear" w:color="auto" w:fill="201547" w:themeFill="accent3"/>
      </w:tcPr>
    </w:tblStylePr>
    <w:tblStylePr w:type="lastRow">
      <w:rPr>
        <w:b/>
        <w:bCs/>
      </w:rPr>
      <w:tblPr/>
      <w:tcPr>
        <w:tcBorders>
          <w:top w:val="double" w:sz="4" w:space="0" w:color="201547" w:themeColor="accent3"/>
        </w:tcBorders>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GridTable4-Accent4">
    <w:name w:val="Grid Table 4 Accent 4"/>
    <w:basedOn w:val="TableNormal"/>
    <w:uiPriority w:val="49"/>
    <w:semiHidden/>
    <w:rsid w:val="0021343A"/>
    <w:pPr>
      <w:spacing w:line="240" w:lineRule="auto"/>
    </w:pPr>
    <w:tblPr>
      <w:tblStyleRowBandSize w:val="1"/>
      <w:tblStyleColBandSize w:val="1"/>
      <w:tblBorders>
        <w:top w:val="single" w:sz="4" w:space="0" w:color="C1ECEA" w:themeColor="accent4" w:themeTint="99"/>
        <w:left w:val="single" w:sz="4" w:space="0" w:color="C1ECEA" w:themeColor="accent4" w:themeTint="99"/>
        <w:bottom w:val="single" w:sz="4" w:space="0" w:color="C1ECEA" w:themeColor="accent4" w:themeTint="99"/>
        <w:right w:val="single" w:sz="4" w:space="0" w:color="C1ECEA" w:themeColor="accent4" w:themeTint="99"/>
        <w:insideH w:val="single" w:sz="4" w:space="0" w:color="C1ECEA" w:themeColor="accent4" w:themeTint="99"/>
        <w:insideV w:val="single" w:sz="4" w:space="0" w:color="C1ECEA" w:themeColor="accent4" w:themeTint="99"/>
      </w:tblBorders>
    </w:tblPr>
    <w:tblStylePr w:type="firstRow">
      <w:rPr>
        <w:b/>
        <w:bCs/>
        <w:color w:val="FFFFFF" w:themeColor="background1"/>
      </w:rPr>
      <w:tblPr/>
      <w:tcPr>
        <w:tcBorders>
          <w:top w:val="single" w:sz="4" w:space="0" w:color="99E0DD" w:themeColor="accent4"/>
          <w:left w:val="single" w:sz="4" w:space="0" w:color="99E0DD" w:themeColor="accent4"/>
          <w:bottom w:val="single" w:sz="4" w:space="0" w:color="99E0DD" w:themeColor="accent4"/>
          <w:right w:val="single" w:sz="4" w:space="0" w:color="99E0DD" w:themeColor="accent4"/>
          <w:insideH w:val="nil"/>
          <w:insideV w:val="nil"/>
        </w:tcBorders>
        <w:shd w:val="clear" w:color="auto" w:fill="99E0DD" w:themeFill="accent4"/>
      </w:tcPr>
    </w:tblStylePr>
    <w:tblStylePr w:type="lastRow">
      <w:rPr>
        <w:b/>
        <w:bCs/>
      </w:rPr>
      <w:tblPr/>
      <w:tcPr>
        <w:tcBorders>
          <w:top w:val="double" w:sz="4" w:space="0" w:color="99E0DD" w:themeColor="accent4"/>
        </w:tcBorders>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GridTable4-Accent5">
    <w:name w:val="Grid Table 4 Accent 5"/>
    <w:basedOn w:val="TableNormal"/>
    <w:uiPriority w:val="49"/>
    <w:semiHidden/>
    <w:rsid w:val="0021343A"/>
    <w:pPr>
      <w:spacing w:line="240" w:lineRule="auto"/>
    </w:pPr>
    <w:tblPr>
      <w:tblStyleRowBandSize w:val="1"/>
      <w:tblStyleColBandSize w:val="1"/>
      <w:tblBorders>
        <w:top w:val="single" w:sz="4" w:space="0" w:color="C1DDF3" w:themeColor="accent5" w:themeTint="99"/>
        <w:left w:val="single" w:sz="4" w:space="0" w:color="C1DDF3" w:themeColor="accent5" w:themeTint="99"/>
        <w:bottom w:val="single" w:sz="4" w:space="0" w:color="C1DDF3" w:themeColor="accent5" w:themeTint="99"/>
        <w:right w:val="single" w:sz="4" w:space="0" w:color="C1DDF3" w:themeColor="accent5" w:themeTint="99"/>
        <w:insideH w:val="single" w:sz="4" w:space="0" w:color="C1DDF3" w:themeColor="accent5" w:themeTint="99"/>
        <w:insideV w:val="single" w:sz="4" w:space="0" w:color="C1DDF3" w:themeColor="accent5" w:themeTint="99"/>
      </w:tblBorders>
    </w:tblPr>
    <w:tblStylePr w:type="firstRow">
      <w:rPr>
        <w:b/>
        <w:bCs/>
        <w:color w:val="FFFFFF" w:themeColor="background1"/>
      </w:rPr>
      <w:tblPr/>
      <w:tcPr>
        <w:tcBorders>
          <w:top w:val="single" w:sz="4" w:space="0" w:color="99C7EB" w:themeColor="accent5"/>
          <w:left w:val="single" w:sz="4" w:space="0" w:color="99C7EB" w:themeColor="accent5"/>
          <w:bottom w:val="single" w:sz="4" w:space="0" w:color="99C7EB" w:themeColor="accent5"/>
          <w:right w:val="single" w:sz="4" w:space="0" w:color="99C7EB" w:themeColor="accent5"/>
          <w:insideH w:val="nil"/>
          <w:insideV w:val="nil"/>
        </w:tcBorders>
        <w:shd w:val="clear" w:color="auto" w:fill="99C7EB" w:themeFill="accent5"/>
      </w:tcPr>
    </w:tblStylePr>
    <w:tblStylePr w:type="lastRow">
      <w:rPr>
        <w:b/>
        <w:bCs/>
      </w:rPr>
      <w:tblPr/>
      <w:tcPr>
        <w:tcBorders>
          <w:top w:val="double" w:sz="4" w:space="0" w:color="99C7EB" w:themeColor="accent5"/>
        </w:tcBorders>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GridTable4-Accent6">
    <w:name w:val="Grid Table 4 Accent 6"/>
    <w:basedOn w:val="TableNormal"/>
    <w:uiPriority w:val="49"/>
    <w:semiHidden/>
    <w:rsid w:val="0021343A"/>
    <w:pPr>
      <w:spacing w:line="240" w:lineRule="auto"/>
    </w:p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insideV w:val="single" w:sz="4" w:space="0" w:color="C9C6D2" w:themeColor="accent6" w:themeTint="99"/>
      </w:tblBorders>
    </w:tblPr>
    <w:tblStylePr w:type="firstRow">
      <w:rPr>
        <w:b/>
        <w:bCs/>
        <w:color w:val="FFFFFF" w:themeColor="background1"/>
      </w:rPr>
      <w:tblPr/>
      <w:tcPr>
        <w:tcBorders>
          <w:top w:val="single" w:sz="4" w:space="0" w:color="A6A1B5" w:themeColor="accent6"/>
          <w:left w:val="single" w:sz="4" w:space="0" w:color="A6A1B5" w:themeColor="accent6"/>
          <w:bottom w:val="single" w:sz="4" w:space="0" w:color="A6A1B5" w:themeColor="accent6"/>
          <w:right w:val="single" w:sz="4" w:space="0" w:color="A6A1B5" w:themeColor="accent6"/>
          <w:insideH w:val="nil"/>
          <w:insideV w:val="nil"/>
        </w:tcBorders>
        <w:shd w:val="clear" w:color="auto" w:fill="A6A1B5" w:themeFill="accent6"/>
      </w:tcPr>
    </w:tblStylePr>
    <w:tblStylePr w:type="lastRow">
      <w:rPr>
        <w:b/>
        <w:bCs/>
      </w:rPr>
      <w:tblPr/>
      <w:tcPr>
        <w:tcBorders>
          <w:top w:val="double" w:sz="4" w:space="0" w:color="A6A1B5" w:themeColor="accent6"/>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GridTable5Dark">
    <w:name w:val="Grid Table 5 Dark"/>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1"/>
      </w:tcPr>
    </w:tblStylePr>
    <w:tblStylePr w:type="band1Vert">
      <w:tblPr/>
      <w:tcPr>
        <w:shd w:val="clear" w:color="auto" w:fill="7AFFF8" w:themeFill="accent1" w:themeFillTint="66"/>
      </w:tcPr>
    </w:tblStylePr>
    <w:tblStylePr w:type="band1Horz">
      <w:tblPr/>
      <w:tcPr>
        <w:shd w:val="clear" w:color="auto" w:fill="7AFFF8" w:themeFill="accent1" w:themeFillTint="66"/>
      </w:tcPr>
    </w:tblStylePr>
  </w:style>
  <w:style w:type="table" w:styleId="GridTable5Dark-Accent2">
    <w:name w:val="Grid Table 5 Dark Accent 2"/>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E" w:themeFill="accent2"/>
      </w:tcPr>
    </w:tblStylePr>
    <w:tblStylePr w:type="band1Vert">
      <w:tblPr/>
      <w:tcPr>
        <w:shd w:val="clear" w:color="auto" w:fill="85C8FF" w:themeFill="accent2" w:themeFillTint="66"/>
      </w:tcPr>
    </w:tblStylePr>
    <w:tblStylePr w:type="band1Horz">
      <w:tblPr/>
      <w:tcPr>
        <w:shd w:val="clear" w:color="auto" w:fill="85C8FF" w:themeFill="accent2" w:themeFillTint="66"/>
      </w:tcPr>
    </w:tblStylePr>
  </w:style>
  <w:style w:type="table" w:styleId="GridTable5Dark-Accent3">
    <w:name w:val="Grid Table 5 Dark Accent 3"/>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3"/>
      </w:tcPr>
    </w:tblStylePr>
    <w:tblStylePr w:type="band1Vert">
      <w:tblPr/>
      <w:tcPr>
        <w:shd w:val="clear" w:color="auto" w:fill="917DD8" w:themeFill="accent3" w:themeFillTint="66"/>
      </w:tcPr>
    </w:tblStylePr>
    <w:tblStylePr w:type="band1Horz">
      <w:tblPr/>
      <w:tcPr>
        <w:shd w:val="clear" w:color="auto" w:fill="917DD8" w:themeFill="accent3" w:themeFillTint="66"/>
      </w:tcPr>
    </w:tblStylePr>
  </w:style>
  <w:style w:type="table" w:styleId="GridTable5Dark-Accent4">
    <w:name w:val="Grid Table 5 Dark Accent 4"/>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4"/>
      </w:tcPr>
    </w:tblStylePr>
    <w:tblStylePr w:type="band1Vert">
      <w:tblPr/>
      <w:tcPr>
        <w:shd w:val="clear" w:color="auto" w:fill="D6F2F1" w:themeFill="accent4" w:themeFillTint="66"/>
      </w:tcPr>
    </w:tblStylePr>
    <w:tblStylePr w:type="band1Horz">
      <w:tblPr/>
      <w:tcPr>
        <w:shd w:val="clear" w:color="auto" w:fill="D6F2F1" w:themeFill="accent4" w:themeFillTint="66"/>
      </w:tcPr>
    </w:tblStylePr>
  </w:style>
  <w:style w:type="table" w:styleId="GridTable5Dark-Accent5">
    <w:name w:val="Grid Table 5 Dark Accent 5"/>
    <w:basedOn w:val="TableNormal"/>
    <w:uiPriority w:val="50"/>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3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7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7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7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7EB" w:themeFill="accent5"/>
      </w:tcPr>
    </w:tblStylePr>
    <w:tblStylePr w:type="band1Vert">
      <w:tblPr/>
      <w:tcPr>
        <w:shd w:val="clear" w:color="auto" w:fill="D6E8F7" w:themeFill="accent5" w:themeFillTint="66"/>
      </w:tcPr>
    </w:tblStylePr>
    <w:tblStylePr w:type="band1Horz">
      <w:tblPr/>
      <w:tcPr>
        <w:shd w:val="clear" w:color="auto" w:fill="D6E8F7" w:themeFill="accent5" w:themeFillTint="66"/>
      </w:tcPr>
    </w:tblStylePr>
  </w:style>
  <w:style w:type="table" w:styleId="GridTable5Dark-Accent6">
    <w:name w:val="Grid Table 5 Dark Accent 6"/>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1B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1B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1B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1B5" w:themeFill="accent6"/>
      </w:tcPr>
    </w:tblStylePr>
    <w:tblStylePr w:type="band1Vert">
      <w:tblPr/>
      <w:tcPr>
        <w:shd w:val="clear" w:color="auto" w:fill="DBD9E1" w:themeFill="accent6" w:themeFillTint="66"/>
      </w:tcPr>
    </w:tblStylePr>
    <w:tblStylePr w:type="band1Horz">
      <w:tblPr/>
      <w:tcPr>
        <w:shd w:val="clear" w:color="auto" w:fill="DBD9E1" w:themeFill="accent6" w:themeFillTint="66"/>
      </w:tcPr>
    </w:tblStylePr>
  </w:style>
  <w:style w:type="table" w:styleId="GridTable6Colorful">
    <w:name w:val="Grid Table 6 Colorful"/>
    <w:basedOn w:val="TableNormal"/>
    <w:uiPriority w:val="51"/>
    <w:semiHidden/>
    <w:rsid w:val="0021343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1343A"/>
    <w:pPr>
      <w:spacing w:line="240" w:lineRule="auto"/>
    </w:pPr>
    <w:rPr>
      <w:color w:val="00857E" w:themeColor="accent1" w:themeShade="BF"/>
    </w:rPr>
    <w:tblPr>
      <w:tblStyleRowBandSize w:val="1"/>
      <w:tblStyleColBandSize w:val="1"/>
      <w:tblBorders>
        <w:top w:val="single" w:sz="4" w:space="0" w:color="37FFF4" w:themeColor="accent1" w:themeTint="99"/>
        <w:left w:val="single" w:sz="4" w:space="0" w:color="37FFF4" w:themeColor="accent1" w:themeTint="99"/>
        <w:bottom w:val="single" w:sz="4" w:space="0" w:color="37FFF4" w:themeColor="accent1" w:themeTint="99"/>
        <w:right w:val="single" w:sz="4" w:space="0" w:color="37FFF4" w:themeColor="accent1" w:themeTint="99"/>
        <w:insideH w:val="single" w:sz="4" w:space="0" w:color="37FFF4" w:themeColor="accent1" w:themeTint="99"/>
        <w:insideV w:val="single" w:sz="4" w:space="0" w:color="37FFF4" w:themeColor="accent1" w:themeTint="99"/>
      </w:tblBorders>
    </w:tblPr>
    <w:tblStylePr w:type="firstRow">
      <w:rPr>
        <w:b/>
        <w:bCs/>
      </w:rPr>
      <w:tblPr/>
      <w:tcPr>
        <w:tcBorders>
          <w:bottom w:val="single" w:sz="12" w:space="0" w:color="37FFF4" w:themeColor="accent1" w:themeTint="99"/>
        </w:tcBorders>
      </w:tcPr>
    </w:tblStylePr>
    <w:tblStylePr w:type="lastRow">
      <w:rPr>
        <w:b/>
        <w:bCs/>
      </w:rPr>
      <w:tblPr/>
      <w:tcPr>
        <w:tcBorders>
          <w:top w:val="double" w:sz="4" w:space="0" w:color="37FFF4" w:themeColor="accent1" w:themeTint="99"/>
        </w:tcBorders>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GridTable6Colorful-Accent2">
    <w:name w:val="Grid Table 6 Colorful Accent 2"/>
    <w:basedOn w:val="TableNormal"/>
    <w:uiPriority w:val="51"/>
    <w:semiHidden/>
    <w:rsid w:val="0021343A"/>
    <w:pPr>
      <w:spacing w:line="240" w:lineRule="auto"/>
    </w:pPr>
    <w:rPr>
      <w:color w:val="00559A" w:themeColor="accent2" w:themeShade="BF"/>
    </w:r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rPr>
      <w:tblPr/>
      <w:tcPr>
        <w:tcBorders>
          <w:bottom w:val="single" w:sz="12" w:space="0" w:color="48ADFF" w:themeColor="accent2" w:themeTint="99"/>
        </w:tcBorders>
      </w:tcPr>
    </w:tblStylePr>
    <w:tblStylePr w:type="lastRow">
      <w:rPr>
        <w:b/>
        <w:bCs/>
      </w:rPr>
      <w:tblPr/>
      <w:tcPr>
        <w:tcBorders>
          <w:top w:val="double" w:sz="4" w:space="0" w:color="48ADFF" w:themeColor="accent2" w:themeTint="99"/>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GridTable6Colorful-Accent3">
    <w:name w:val="Grid Table 6 Colorful Accent 3"/>
    <w:basedOn w:val="TableNormal"/>
    <w:uiPriority w:val="51"/>
    <w:semiHidden/>
    <w:rsid w:val="0021343A"/>
    <w:pPr>
      <w:spacing w:line="240" w:lineRule="auto"/>
    </w:pPr>
    <w:rPr>
      <w:color w:val="170F34" w:themeColor="accent3" w:themeShade="BF"/>
    </w:rPr>
    <w:tblPr>
      <w:tblStyleRowBandSize w:val="1"/>
      <w:tblStyleColBandSize w:val="1"/>
      <w:tblBorders>
        <w:top w:val="single" w:sz="4" w:space="0" w:color="5B3DC5" w:themeColor="accent3" w:themeTint="99"/>
        <w:left w:val="single" w:sz="4" w:space="0" w:color="5B3DC5" w:themeColor="accent3" w:themeTint="99"/>
        <w:bottom w:val="single" w:sz="4" w:space="0" w:color="5B3DC5" w:themeColor="accent3" w:themeTint="99"/>
        <w:right w:val="single" w:sz="4" w:space="0" w:color="5B3DC5" w:themeColor="accent3" w:themeTint="99"/>
        <w:insideH w:val="single" w:sz="4" w:space="0" w:color="5B3DC5" w:themeColor="accent3" w:themeTint="99"/>
        <w:insideV w:val="single" w:sz="4" w:space="0" w:color="5B3DC5" w:themeColor="accent3" w:themeTint="99"/>
      </w:tblBorders>
    </w:tblPr>
    <w:tblStylePr w:type="firstRow">
      <w:rPr>
        <w:b/>
        <w:bCs/>
      </w:rPr>
      <w:tblPr/>
      <w:tcPr>
        <w:tcBorders>
          <w:bottom w:val="single" w:sz="12" w:space="0" w:color="5B3DC5" w:themeColor="accent3" w:themeTint="99"/>
        </w:tcBorders>
      </w:tcPr>
    </w:tblStylePr>
    <w:tblStylePr w:type="lastRow">
      <w:rPr>
        <w:b/>
        <w:bCs/>
      </w:rPr>
      <w:tblPr/>
      <w:tcPr>
        <w:tcBorders>
          <w:top w:val="double" w:sz="4" w:space="0" w:color="5B3DC5" w:themeColor="accent3" w:themeTint="99"/>
        </w:tcBorders>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GridTable6Colorful-Accent4">
    <w:name w:val="Grid Table 6 Colorful Accent 4"/>
    <w:basedOn w:val="TableNormal"/>
    <w:uiPriority w:val="51"/>
    <w:semiHidden/>
    <w:rsid w:val="0021343A"/>
    <w:pPr>
      <w:spacing w:line="240" w:lineRule="auto"/>
    </w:pPr>
    <w:rPr>
      <w:color w:val="50CAC4" w:themeColor="accent4" w:themeShade="BF"/>
    </w:rPr>
    <w:tblPr>
      <w:tblStyleRowBandSize w:val="1"/>
      <w:tblStyleColBandSize w:val="1"/>
      <w:tblBorders>
        <w:top w:val="single" w:sz="4" w:space="0" w:color="C1ECEA" w:themeColor="accent4" w:themeTint="99"/>
        <w:left w:val="single" w:sz="4" w:space="0" w:color="C1ECEA" w:themeColor="accent4" w:themeTint="99"/>
        <w:bottom w:val="single" w:sz="4" w:space="0" w:color="C1ECEA" w:themeColor="accent4" w:themeTint="99"/>
        <w:right w:val="single" w:sz="4" w:space="0" w:color="C1ECEA" w:themeColor="accent4" w:themeTint="99"/>
        <w:insideH w:val="single" w:sz="4" w:space="0" w:color="C1ECEA" w:themeColor="accent4" w:themeTint="99"/>
        <w:insideV w:val="single" w:sz="4" w:space="0" w:color="C1ECEA" w:themeColor="accent4" w:themeTint="99"/>
      </w:tblBorders>
    </w:tblPr>
    <w:tblStylePr w:type="firstRow">
      <w:rPr>
        <w:b/>
        <w:bCs/>
      </w:rPr>
      <w:tblPr/>
      <w:tcPr>
        <w:tcBorders>
          <w:bottom w:val="single" w:sz="12" w:space="0" w:color="C1ECEA" w:themeColor="accent4" w:themeTint="99"/>
        </w:tcBorders>
      </w:tcPr>
    </w:tblStylePr>
    <w:tblStylePr w:type="lastRow">
      <w:rPr>
        <w:b/>
        <w:bCs/>
      </w:rPr>
      <w:tblPr/>
      <w:tcPr>
        <w:tcBorders>
          <w:top w:val="double" w:sz="4" w:space="0" w:color="C1ECEA" w:themeColor="accent4" w:themeTint="99"/>
        </w:tcBorders>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GridTable6Colorful-Accent5">
    <w:name w:val="Grid Table 6 Colorful Accent 5"/>
    <w:basedOn w:val="TableNormal"/>
    <w:uiPriority w:val="51"/>
    <w:semiHidden/>
    <w:rsid w:val="0021343A"/>
    <w:pPr>
      <w:spacing w:line="240" w:lineRule="auto"/>
    </w:pPr>
    <w:rPr>
      <w:color w:val="479ADB" w:themeColor="accent5" w:themeShade="BF"/>
    </w:rPr>
    <w:tblPr>
      <w:tblStyleRowBandSize w:val="1"/>
      <w:tblStyleColBandSize w:val="1"/>
      <w:tblBorders>
        <w:top w:val="single" w:sz="4" w:space="0" w:color="C1DDF3" w:themeColor="accent5" w:themeTint="99"/>
        <w:left w:val="single" w:sz="4" w:space="0" w:color="C1DDF3" w:themeColor="accent5" w:themeTint="99"/>
        <w:bottom w:val="single" w:sz="4" w:space="0" w:color="C1DDF3" w:themeColor="accent5" w:themeTint="99"/>
        <w:right w:val="single" w:sz="4" w:space="0" w:color="C1DDF3" w:themeColor="accent5" w:themeTint="99"/>
        <w:insideH w:val="single" w:sz="4" w:space="0" w:color="C1DDF3" w:themeColor="accent5" w:themeTint="99"/>
        <w:insideV w:val="single" w:sz="4" w:space="0" w:color="C1DDF3" w:themeColor="accent5" w:themeTint="99"/>
      </w:tblBorders>
    </w:tblPr>
    <w:tblStylePr w:type="firstRow">
      <w:rPr>
        <w:b/>
        <w:bCs/>
      </w:rPr>
      <w:tblPr/>
      <w:tcPr>
        <w:tcBorders>
          <w:bottom w:val="single" w:sz="12" w:space="0" w:color="C1DDF3" w:themeColor="accent5" w:themeTint="99"/>
        </w:tcBorders>
      </w:tcPr>
    </w:tblStylePr>
    <w:tblStylePr w:type="lastRow">
      <w:rPr>
        <w:b/>
        <w:bCs/>
      </w:rPr>
      <w:tblPr/>
      <w:tcPr>
        <w:tcBorders>
          <w:top w:val="double" w:sz="4" w:space="0" w:color="C1DDF3" w:themeColor="accent5" w:themeTint="99"/>
        </w:tcBorders>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GridTable6Colorful-Accent6">
    <w:name w:val="Grid Table 6 Colorful Accent 6"/>
    <w:basedOn w:val="TableNormal"/>
    <w:uiPriority w:val="51"/>
    <w:semiHidden/>
    <w:rsid w:val="0021343A"/>
    <w:pPr>
      <w:spacing w:line="240" w:lineRule="auto"/>
    </w:pPr>
    <w:rPr>
      <w:color w:val="78708F" w:themeColor="accent6" w:themeShade="BF"/>
    </w:r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insideV w:val="single" w:sz="4" w:space="0" w:color="C9C6D2" w:themeColor="accent6" w:themeTint="99"/>
      </w:tblBorders>
    </w:tblPr>
    <w:tblStylePr w:type="firstRow">
      <w:rPr>
        <w:b/>
        <w:bCs/>
      </w:rPr>
      <w:tblPr/>
      <w:tcPr>
        <w:tcBorders>
          <w:bottom w:val="single" w:sz="12" w:space="0" w:color="C9C6D2" w:themeColor="accent6" w:themeTint="99"/>
        </w:tcBorders>
      </w:tcPr>
    </w:tblStylePr>
    <w:tblStylePr w:type="lastRow">
      <w:rPr>
        <w:b/>
        <w:bCs/>
      </w:rPr>
      <w:tblPr/>
      <w:tcPr>
        <w:tcBorders>
          <w:top w:val="double" w:sz="4" w:space="0" w:color="C9C6D2" w:themeColor="accent6" w:themeTint="99"/>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GridTable7Colorful">
    <w:name w:val="Grid Table 7 Colorful"/>
    <w:basedOn w:val="TableNormal"/>
    <w:uiPriority w:val="52"/>
    <w:semiHidden/>
    <w:rsid w:val="0021343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1343A"/>
    <w:pPr>
      <w:spacing w:line="240" w:lineRule="auto"/>
    </w:pPr>
    <w:rPr>
      <w:color w:val="00857E" w:themeColor="accent1" w:themeShade="BF"/>
    </w:rPr>
    <w:tblPr>
      <w:tblStyleRowBandSize w:val="1"/>
      <w:tblStyleColBandSize w:val="1"/>
      <w:tblBorders>
        <w:top w:val="single" w:sz="4" w:space="0" w:color="37FFF4" w:themeColor="accent1" w:themeTint="99"/>
        <w:left w:val="single" w:sz="4" w:space="0" w:color="37FFF4" w:themeColor="accent1" w:themeTint="99"/>
        <w:bottom w:val="single" w:sz="4" w:space="0" w:color="37FFF4" w:themeColor="accent1" w:themeTint="99"/>
        <w:right w:val="single" w:sz="4" w:space="0" w:color="37FFF4" w:themeColor="accent1" w:themeTint="99"/>
        <w:insideH w:val="single" w:sz="4" w:space="0" w:color="37FFF4" w:themeColor="accent1" w:themeTint="99"/>
        <w:insideV w:val="single" w:sz="4" w:space="0" w:color="37FF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1" w:themeFillTint="33"/>
      </w:tcPr>
    </w:tblStylePr>
    <w:tblStylePr w:type="band1Horz">
      <w:tblPr/>
      <w:tcPr>
        <w:shd w:val="clear" w:color="auto" w:fill="BCFFFB" w:themeFill="accent1" w:themeFillTint="33"/>
      </w:tcPr>
    </w:tblStylePr>
    <w:tblStylePr w:type="neCell">
      <w:tblPr/>
      <w:tcPr>
        <w:tcBorders>
          <w:bottom w:val="single" w:sz="4" w:space="0" w:color="37FFF4" w:themeColor="accent1" w:themeTint="99"/>
        </w:tcBorders>
      </w:tcPr>
    </w:tblStylePr>
    <w:tblStylePr w:type="nwCell">
      <w:tblPr/>
      <w:tcPr>
        <w:tcBorders>
          <w:bottom w:val="single" w:sz="4" w:space="0" w:color="37FFF4" w:themeColor="accent1" w:themeTint="99"/>
        </w:tcBorders>
      </w:tcPr>
    </w:tblStylePr>
    <w:tblStylePr w:type="seCell">
      <w:tblPr/>
      <w:tcPr>
        <w:tcBorders>
          <w:top w:val="single" w:sz="4" w:space="0" w:color="37FFF4" w:themeColor="accent1" w:themeTint="99"/>
        </w:tcBorders>
      </w:tcPr>
    </w:tblStylePr>
    <w:tblStylePr w:type="swCell">
      <w:tblPr/>
      <w:tcPr>
        <w:tcBorders>
          <w:top w:val="single" w:sz="4" w:space="0" w:color="37FFF4" w:themeColor="accent1" w:themeTint="99"/>
        </w:tcBorders>
      </w:tcPr>
    </w:tblStylePr>
  </w:style>
  <w:style w:type="table" w:styleId="GridTable7Colorful-Accent2">
    <w:name w:val="Grid Table 7 Colorful Accent 2"/>
    <w:basedOn w:val="TableNormal"/>
    <w:uiPriority w:val="52"/>
    <w:semiHidden/>
    <w:rsid w:val="0021343A"/>
    <w:pPr>
      <w:spacing w:line="240" w:lineRule="auto"/>
    </w:pPr>
    <w:rPr>
      <w:color w:val="00559A" w:themeColor="accent2" w:themeShade="BF"/>
    </w:r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2" w:themeFillTint="33"/>
      </w:tcPr>
    </w:tblStylePr>
    <w:tblStylePr w:type="band1Horz">
      <w:tblPr/>
      <w:tcPr>
        <w:shd w:val="clear" w:color="auto" w:fill="C2E3FF" w:themeFill="accent2" w:themeFillTint="33"/>
      </w:tcPr>
    </w:tblStylePr>
    <w:tblStylePr w:type="neCell">
      <w:tblPr/>
      <w:tcPr>
        <w:tcBorders>
          <w:bottom w:val="single" w:sz="4" w:space="0" w:color="48ADFF" w:themeColor="accent2" w:themeTint="99"/>
        </w:tcBorders>
      </w:tcPr>
    </w:tblStylePr>
    <w:tblStylePr w:type="nwCell">
      <w:tblPr/>
      <w:tcPr>
        <w:tcBorders>
          <w:bottom w:val="single" w:sz="4" w:space="0" w:color="48ADFF" w:themeColor="accent2" w:themeTint="99"/>
        </w:tcBorders>
      </w:tcPr>
    </w:tblStylePr>
    <w:tblStylePr w:type="seCell">
      <w:tblPr/>
      <w:tcPr>
        <w:tcBorders>
          <w:top w:val="single" w:sz="4" w:space="0" w:color="48ADFF" w:themeColor="accent2" w:themeTint="99"/>
        </w:tcBorders>
      </w:tcPr>
    </w:tblStylePr>
    <w:tblStylePr w:type="swCell">
      <w:tblPr/>
      <w:tcPr>
        <w:tcBorders>
          <w:top w:val="single" w:sz="4" w:space="0" w:color="48ADFF" w:themeColor="accent2" w:themeTint="99"/>
        </w:tcBorders>
      </w:tcPr>
    </w:tblStylePr>
  </w:style>
  <w:style w:type="table" w:styleId="GridTable7Colorful-Accent3">
    <w:name w:val="Grid Table 7 Colorful Accent 3"/>
    <w:basedOn w:val="TableNormal"/>
    <w:uiPriority w:val="52"/>
    <w:semiHidden/>
    <w:rsid w:val="0021343A"/>
    <w:pPr>
      <w:spacing w:line="240" w:lineRule="auto"/>
    </w:pPr>
    <w:rPr>
      <w:color w:val="170F34" w:themeColor="accent3" w:themeShade="BF"/>
    </w:rPr>
    <w:tblPr>
      <w:tblStyleRowBandSize w:val="1"/>
      <w:tblStyleColBandSize w:val="1"/>
      <w:tblBorders>
        <w:top w:val="single" w:sz="4" w:space="0" w:color="5B3DC5" w:themeColor="accent3" w:themeTint="99"/>
        <w:left w:val="single" w:sz="4" w:space="0" w:color="5B3DC5" w:themeColor="accent3" w:themeTint="99"/>
        <w:bottom w:val="single" w:sz="4" w:space="0" w:color="5B3DC5" w:themeColor="accent3" w:themeTint="99"/>
        <w:right w:val="single" w:sz="4" w:space="0" w:color="5B3DC5" w:themeColor="accent3" w:themeTint="99"/>
        <w:insideH w:val="single" w:sz="4" w:space="0" w:color="5B3DC5" w:themeColor="accent3" w:themeTint="99"/>
        <w:insideV w:val="single" w:sz="4" w:space="0" w:color="5B3DC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3" w:themeFillTint="33"/>
      </w:tcPr>
    </w:tblStylePr>
    <w:tblStylePr w:type="band1Horz">
      <w:tblPr/>
      <w:tcPr>
        <w:shd w:val="clear" w:color="auto" w:fill="C8BEEC" w:themeFill="accent3" w:themeFillTint="33"/>
      </w:tcPr>
    </w:tblStylePr>
    <w:tblStylePr w:type="neCell">
      <w:tblPr/>
      <w:tcPr>
        <w:tcBorders>
          <w:bottom w:val="single" w:sz="4" w:space="0" w:color="5B3DC5" w:themeColor="accent3" w:themeTint="99"/>
        </w:tcBorders>
      </w:tcPr>
    </w:tblStylePr>
    <w:tblStylePr w:type="nwCell">
      <w:tblPr/>
      <w:tcPr>
        <w:tcBorders>
          <w:bottom w:val="single" w:sz="4" w:space="0" w:color="5B3DC5" w:themeColor="accent3" w:themeTint="99"/>
        </w:tcBorders>
      </w:tcPr>
    </w:tblStylePr>
    <w:tblStylePr w:type="seCell">
      <w:tblPr/>
      <w:tcPr>
        <w:tcBorders>
          <w:top w:val="single" w:sz="4" w:space="0" w:color="5B3DC5" w:themeColor="accent3" w:themeTint="99"/>
        </w:tcBorders>
      </w:tcPr>
    </w:tblStylePr>
    <w:tblStylePr w:type="swCell">
      <w:tblPr/>
      <w:tcPr>
        <w:tcBorders>
          <w:top w:val="single" w:sz="4" w:space="0" w:color="5B3DC5" w:themeColor="accent3" w:themeTint="99"/>
        </w:tcBorders>
      </w:tcPr>
    </w:tblStylePr>
  </w:style>
  <w:style w:type="table" w:styleId="GridTable7Colorful-Accent4">
    <w:name w:val="Grid Table 7 Colorful Accent 4"/>
    <w:basedOn w:val="TableNormal"/>
    <w:uiPriority w:val="52"/>
    <w:semiHidden/>
    <w:rsid w:val="0021343A"/>
    <w:pPr>
      <w:spacing w:line="240" w:lineRule="auto"/>
    </w:pPr>
    <w:rPr>
      <w:color w:val="50CAC4" w:themeColor="accent4" w:themeShade="BF"/>
    </w:rPr>
    <w:tblPr>
      <w:tblStyleRowBandSize w:val="1"/>
      <w:tblStyleColBandSize w:val="1"/>
      <w:tblBorders>
        <w:top w:val="single" w:sz="4" w:space="0" w:color="C1ECEA" w:themeColor="accent4" w:themeTint="99"/>
        <w:left w:val="single" w:sz="4" w:space="0" w:color="C1ECEA" w:themeColor="accent4" w:themeTint="99"/>
        <w:bottom w:val="single" w:sz="4" w:space="0" w:color="C1ECEA" w:themeColor="accent4" w:themeTint="99"/>
        <w:right w:val="single" w:sz="4" w:space="0" w:color="C1ECEA" w:themeColor="accent4" w:themeTint="99"/>
        <w:insideH w:val="single" w:sz="4" w:space="0" w:color="C1ECEA" w:themeColor="accent4" w:themeTint="99"/>
        <w:insideV w:val="single" w:sz="4" w:space="0" w:color="C1EC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4" w:themeFillTint="33"/>
      </w:tcPr>
    </w:tblStylePr>
    <w:tblStylePr w:type="band1Horz">
      <w:tblPr/>
      <w:tcPr>
        <w:shd w:val="clear" w:color="auto" w:fill="EAF8F8" w:themeFill="accent4" w:themeFillTint="33"/>
      </w:tcPr>
    </w:tblStylePr>
    <w:tblStylePr w:type="neCell">
      <w:tblPr/>
      <w:tcPr>
        <w:tcBorders>
          <w:bottom w:val="single" w:sz="4" w:space="0" w:color="C1ECEA" w:themeColor="accent4" w:themeTint="99"/>
        </w:tcBorders>
      </w:tcPr>
    </w:tblStylePr>
    <w:tblStylePr w:type="nwCell">
      <w:tblPr/>
      <w:tcPr>
        <w:tcBorders>
          <w:bottom w:val="single" w:sz="4" w:space="0" w:color="C1ECEA" w:themeColor="accent4" w:themeTint="99"/>
        </w:tcBorders>
      </w:tcPr>
    </w:tblStylePr>
    <w:tblStylePr w:type="seCell">
      <w:tblPr/>
      <w:tcPr>
        <w:tcBorders>
          <w:top w:val="single" w:sz="4" w:space="0" w:color="C1ECEA" w:themeColor="accent4" w:themeTint="99"/>
        </w:tcBorders>
      </w:tcPr>
    </w:tblStylePr>
    <w:tblStylePr w:type="swCell">
      <w:tblPr/>
      <w:tcPr>
        <w:tcBorders>
          <w:top w:val="single" w:sz="4" w:space="0" w:color="C1ECEA" w:themeColor="accent4" w:themeTint="99"/>
        </w:tcBorders>
      </w:tcPr>
    </w:tblStylePr>
  </w:style>
  <w:style w:type="table" w:styleId="GridTable7Colorful-Accent5">
    <w:name w:val="Grid Table 7 Colorful Accent 5"/>
    <w:basedOn w:val="TableNormal"/>
    <w:uiPriority w:val="52"/>
    <w:semiHidden/>
    <w:rsid w:val="0021343A"/>
    <w:pPr>
      <w:spacing w:line="240" w:lineRule="auto"/>
    </w:pPr>
    <w:rPr>
      <w:color w:val="479ADB" w:themeColor="accent5" w:themeShade="BF"/>
    </w:rPr>
    <w:tblPr>
      <w:tblStyleRowBandSize w:val="1"/>
      <w:tblStyleColBandSize w:val="1"/>
      <w:tblBorders>
        <w:top w:val="single" w:sz="4" w:space="0" w:color="C1DDF3" w:themeColor="accent5" w:themeTint="99"/>
        <w:left w:val="single" w:sz="4" w:space="0" w:color="C1DDF3" w:themeColor="accent5" w:themeTint="99"/>
        <w:bottom w:val="single" w:sz="4" w:space="0" w:color="C1DDF3" w:themeColor="accent5" w:themeTint="99"/>
        <w:right w:val="single" w:sz="4" w:space="0" w:color="C1DDF3" w:themeColor="accent5" w:themeTint="99"/>
        <w:insideH w:val="single" w:sz="4" w:space="0" w:color="C1DDF3" w:themeColor="accent5" w:themeTint="99"/>
        <w:insideV w:val="single" w:sz="4" w:space="0" w:color="C1DD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3FB" w:themeFill="accent5" w:themeFillTint="33"/>
      </w:tcPr>
    </w:tblStylePr>
    <w:tblStylePr w:type="band1Horz">
      <w:tblPr/>
      <w:tcPr>
        <w:shd w:val="clear" w:color="auto" w:fill="EAF3FB" w:themeFill="accent5" w:themeFillTint="33"/>
      </w:tcPr>
    </w:tblStylePr>
    <w:tblStylePr w:type="neCell">
      <w:tblPr/>
      <w:tcPr>
        <w:tcBorders>
          <w:bottom w:val="single" w:sz="4" w:space="0" w:color="C1DDF3" w:themeColor="accent5" w:themeTint="99"/>
        </w:tcBorders>
      </w:tcPr>
    </w:tblStylePr>
    <w:tblStylePr w:type="nwCell">
      <w:tblPr/>
      <w:tcPr>
        <w:tcBorders>
          <w:bottom w:val="single" w:sz="4" w:space="0" w:color="C1DDF3" w:themeColor="accent5" w:themeTint="99"/>
        </w:tcBorders>
      </w:tcPr>
    </w:tblStylePr>
    <w:tblStylePr w:type="seCell">
      <w:tblPr/>
      <w:tcPr>
        <w:tcBorders>
          <w:top w:val="single" w:sz="4" w:space="0" w:color="C1DDF3" w:themeColor="accent5" w:themeTint="99"/>
        </w:tcBorders>
      </w:tcPr>
    </w:tblStylePr>
    <w:tblStylePr w:type="swCell">
      <w:tblPr/>
      <w:tcPr>
        <w:tcBorders>
          <w:top w:val="single" w:sz="4" w:space="0" w:color="C1DDF3" w:themeColor="accent5" w:themeTint="99"/>
        </w:tcBorders>
      </w:tcPr>
    </w:tblStylePr>
  </w:style>
  <w:style w:type="table" w:styleId="GridTable7Colorful-Accent6">
    <w:name w:val="Grid Table 7 Colorful Accent 6"/>
    <w:basedOn w:val="TableNormal"/>
    <w:uiPriority w:val="52"/>
    <w:semiHidden/>
    <w:rsid w:val="0021343A"/>
    <w:pPr>
      <w:spacing w:line="240" w:lineRule="auto"/>
    </w:pPr>
    <w:rPr>
      <w:color w:val="78708F" w:themeColor="accent6" w:themeShade="BF"/>
    </w:r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insideV w:val="single" w:sz="4" w:space="0" w:color="C9C6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CF0" w:themeFill="accent6" w:themeFillTint="33"/>
      </w:tcPr>
    </w:tblStylePr>
    <w:tblStylePr w:type="band1Horz">
      <w:tblPr/>
      <w:tcPr>
        <w:shd w:val="clear" w:color="auto" w:fill="EDECF0" w:themeFill="accent6" w:themeFillTint="33"/>
      </w:tcPr>
    </w:tblStylePr>
    <w:tblStylePr w:type="neCell">
      <w:tblPr/>
      <w:tcPr>
        <w:tcBorders>
          <w:bottom w:val="single" w:sz="4" w:space="0" w:color="C9C6D2" w:themeColor="accent6" w:themeTint="99"/>
        </w:tcBorders>
      </w:tcPr>
    </w:tblStylePr>
    <w:tblStylePr w:type="nwCell">
      <w:tblPr/>
      <w:tcPr>
        <w:tcBorders>
          <w:bottom w:val="single" w:sz="4" w:space="0" w:color="C9C6D2" w:themeColor="accent6" w:themeTint="99"/>
        </w:tcBorders>
      </w:tcPr>
    </w:tblStylePr>
    <w:tblStylePr w:type="seCell">
      <w:tblPr/>
      <w:tcPr>
        <w:tcBorders>
          <w:top w:val="single" w:sz="4" w:space="0" w:color="C9C6D2" w:themeColor="accent6" w:themeTint="99"/>
        </w:tcBorders>
      </w:tcPr>
    </w:tblStylePr>
    <w:tblStylePr w:type="swCell">
      <w:tblPr/>
      <w:tcPr>
        <w:tcBorders>
          <w:top w:val="single" w:sz="4" w:space="0" w:color="C9C6D2" w:themeColor="accent6" w:themeTint="99"/>
        </w:tcBorders>
      </w:tcPr>
    </w:tblStylePr>
  </w:style>
  <w:style w:type="table" w:styleId="LightGrid">
    <w:name w:val="Light Grid"/>
    <w:basedOn w:val="TableNormal"/>
    <w:uiPriority w:val="62"/>
    <w:semiHidden/>
    <w:rsid w:val="0021343A"/>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1343A"/>
    <w:pPr>
      <w:spacing w:line="240" w:lineRule="auto"/>
    </w:p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insideH w:val="single" w:sz="8" w:space="0" w:color="00B2A9" w:themeColor="accent1"/>
        <w:insideV w:val="single" w:sz="8" w:space="0" w:color="00B2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1"/>
          <w:left w:val="single" w:sz="8" w:space="0" w:color="00B2A9" w:themeColor="accent1"/>
          <w:bottom w:val="single" w:sz="18" w:space="0" w:color="00B2A9" w:themeColor="accent1"/>
          <w:right w:val="single" w:sz="8" w:space="0" w:color="00B2A9" w:themeColor="accent1"/>
          <w:insideH w:val="nil"/>
          <w:insideV w:val="single" w:sz="8" w:space="0" w:color="00B2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1"/>
          <w:left w:val="single" w:sz="8" w:space="0" w:color="00B2A9" w:themeColor="accent1"/>
          <w:bottom w:val="single" w:sz="8" w:space="0" w:color="00B2A9" w:themeColor="accent1"/>
          <w:right w:val="single" w:sz="8" w:space="0" w:color="00B2A9" w:themeColor="accent1"/>
          <w:insideH w:val="nil"/>
          <w:insideV w:val="single" w:sz="8" w:space="0" w:color="00B2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tblStylePr w:type="band1Vert">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shd w:val="clear" w:color="auto" w:fill="ACFFFA" w:themeFill="accent1" w:themeFillTint="3F"/>
      </w:tcPr>
    </w:tblStylePr>
    <w:tblStylePr w:type="band1Horz">
      <w:tblPr/>
      <w:tcPr>
        <w:tcBorders>
          <w:top w:val="single" w:sz="8" w:space="0" w:color="00B2A9" w:themeColor="accent1"/>
          <w:left w:val="single" w:sz="8" w:space="0" w:color="00B2A9" w:themeColor="accent1"/>
          <w:bottom w:val="single" w:sz="8" w:space="0" w:color="00B2A9" w:themeColor="accent1"/>
          <w:right w:val="single" w:sz="8" w:space="0" w:color="00B2A9" w:themeColor="accent1"/>
          <w:insideV w:val="single" w:sz="8" w:space="0" w:color="00B2A9" w:themeColor="accent1"/>
        </w:tcBorders>
        <w:shd w:val="clear" w:color="auto" w:fill="ACFFFA" w:themeFill="accent1" w:themeFillTint="3F"/>
      </w:tcPr>
    </w:tblStylePr>
    <w:tblStylePr w:type="band2Horz">
      <w:tblPr/>
      <w:tcPr>
        <w:tcBorders>
          <w:top w:val="single" w:sz="8" w:space="0" w:color="00B2A9" w:themeColor="accent1"/>
          <w:left w:val="single" w:sz="8" w:space="0" w:color="00B2A9" w:themeColor="accent1"/>
          <w:bottom w:val="single" w:sz="8" w:space="0" w:color="00B2A9" w:themeColor="accent1"/>
          <w:right w:val="single" w:sz="8" w:space="0" w:color="00B2A9" w:themeColor="accent1"/>
          <w:insideV w:val="single" w:sz="8" w:space="0" w:color="00B2A9" w:themeColor="accent1"/>
        </w:tcBorders>
      </w:tcPr>
    </w:tblStylePr>
  </w:style>
  <w:style w:type="table" w:styleId="LightGrid-Accent2">
    <w:name w:val="Light Grid Accent 2"/>
    <w:basedOn w:val="TableNormal"/>
    <w:uiPriority w:val="62"/>
    <w:semiHidden/>
    <w:rsid w:val="0021343A"/>
    <w:pPr>
      <w:spacing w:line="240" w:lineRule="auto"/>
    </w:pPr>
    <w:tblPr>
      <w:tblStyleRowBandSize w:val="1"/>
      <w:tblStyleColBandSize w:val="1"/>
      <w:tblBorders>
        <w:top w:val="single" w:sz="8" w:space="0" w:color="0072CE" w:themeColor="accent2"/>
        <w:left w:val="single" w:sz="8" w:space="0" w:color="0072CE" w:themeColor="accent2"/>
        <w:bottom w:val="single" w:sz="8" w:space="0" w:color="0072CE" w:themeColor="accent2"/>
        <w:right w:val="single" w:sz="8" w:space="0" w:color="0072CE" w:themeColor="accent2"/>
        <w:insideH w:val="single" w:sz="8" w:space="0" w:color="0072CE" w:themeColor="accent2"/>
        <w:insideV w:val="single" w:sz="8" w:space="0" w:color="0072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2"/>
          <w:left w:val="single" w:sz="8" w:space="0" w:color="0072CE" w:themeColor="accent2"/>
          <w:bottom w:val="single" w:sz="18" w:space="0" w:color="0072CE" w:themeColor="accent2"/>
          <w:right w:val="single" w:sz="8" w:space="0" w:color="0072CE" w:themeColor="accent2"/>
          <w:insideH w:val="nil"/>
          <w:insideV w:val="single" w:sz="8" w:space="0" w:color="0072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2"/>
          <w:left w:val="single" w:sz="8" w:space="0" w:color="0072CE" w:themeColor="accent2"/>
          <w:bottom w:val="single" w:sz="8" w:space="0" w:color="0072CE" w:themeColor="accent2"/>
          <w:right w:val="single" w:sz="8" w:space="0" w:color="0072CE" w:themeColor="accent2"/>
          <w:insideH w:val="nil"/>
          <w:insideV w:val="single" w:sz="8" w:space="0" w:color="0072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2"/>
          <w:left w:val="single" w:sz="8" w:space="0" w:color="0072CE" w:themeColor="accent2"/>
          <w:bottom w:val="single" w:sz="8" w:space="0" w:color="0072CE" w:themeColor="accent2"/>
          <w:right w:val="single" w:sz="8" w:space="0" w:color="0072CE" w:themeColor="accent2"/>
        </w:tcBorders>
      </w:tcPr>
    </w:tblStylePr>
    <w:tblStylePr w:type="band1Vert">
      <w:tblPr/>
      <w:tcPr>
        <w:tcBorders>
          <w:top w:val="single" w:sz="8" w:space="0" w:color="0072CE" w:themeColor="accent2"/>
          <w:left w:val="single" w:sz="8" w:space="0" w:color="0072CE" w:themeColor="accent2"/>
          <w:bottom w:val="single" w:sz="8" w:space="0" w:color="0072CE" w:themeColor="accent2"/>
          <w:right w:val="single" w:sz="8" w:space="0" w:color="0072CE" w:themeColor="accent2"/>
        </w:tcBorders>
        <w:shd w:val="clear" w:color="auto" w:fill="B3DDFF" w:themeFill="accent2" w:themeFillTint="3F"/>
      </w:tcPr>
    </w:tblStylePr>
    <w:tblStylePr w:type="band1Horz">
      <w:tblPr/>
      <w:tcPr>
        <w:tcBorders>
          <w:top w:val="single" w:sz="8" w:space="0" w:color="0072CE" w:themeColor="accent2"/>
          <w:left w:val="single" w:sz="8" w:space="0" w:color="0072CE" w:themeColor="accent2"/>
          <w:bottom w:val="single" w:sz="8" w:space="0" w:color="0072CE" w:themeColor="accent2"/>
          <w:right w:val="single" w:sz="8" w:space="0" w:color="0072CE" w:themeColor="accent2"/>
          <w:insideV w:val="single" w:sz="8" w:space="0" w:color="0072CE" w:themeColor="accent2"/>
        </w:tcBorders>
        <w:shd w:val="clear" w:color="auto" w:fill="B3DDFF" w:themeFill="accent2" w:themeFillTint="3F"/>
      </w:tcPr>
    </w:tblStylePr>
    <w:tblStylePr w:type="band2Horz">
      <w:tblPr/>
      <w:tcPr>
        <w:tcBorders>
          <w:top w:val="single" w:sz="8" w:space="0" w:color="0072CE" w:themeColor="accent2"/>
          <w:left w:val="single" w:sz="8" w:space="0" w:color="0072CE" w:themeColor="accent2"/>
          <w:bottom w:val="single" w:sz="8" w:space="0" w:color="0072CE" w:themeColor="accent2"/>
          <w:right w:val="single" w:sz="8" w:space="0" w:color="0072CE" w:themeColor="accent2"/>
          <w:insideV w:val="single" w:sz="8" w:space="0" w:color="0072CE" w:themeColor="accent2"/>
        </w:tcBorders>
      </w:tcPr>
    </w:tblStylePr>
  </w:style>
  <w:style w:type="table" w:styleId="LightGrid-Accent3">
    <w:name w:val="Light Grid Accent 3"/>
    <w:basedOn w:val="TableNormal"/>
    <w:uiPriority w:val="62"/>
    <w:semiHidden/>
    <w:rsid w:val="0021343A"/>
    <w:pPr>
      <w:spacing w:line="240" w:lineRule="auto"/>
    </w:pPr>
    <w:tblPr>
      <w:tblStyleRowBandSize w:val="1"/>
      <w:tblStyleColBandSize w:val="1"/>
      <w:tblBorders>
        <w:top w:val="single" w:sz="8" w:space="0" w:color="201547" w:themeColor="accent3"/>
        <w:left w:val="single" w:sz="8" w:space="0" w:color="201547" w:themeColor="accent3"/>
        <w:bottom w:val="single" w:sz="8" w:space="0" w:color="201547" w:themeColor="accent3"/>
        <w:right w:val="single" w:sz="8" w:space="0" w:color="201547" w:themeColor="accent3"/>
        <w:insideH w:val="single" w:sz="8" w:space="0" w:color="201547" w:themeColor="accent3"/>
        <w:insideV w:val="single" w:sz="8" w:space="0" w:color="20154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3"/>
          <w:left w:val="single" w:sz="8" w:space="0" w:color="201547" w:themeColor="accent3"/>
          <w:bottom w:val="single" w:sz="18" w:space="0" w:color="201547" w:themeColor="accent3"/>
          <w:right w:val="single" w:sz="8" w:space="0" w:color="201547" w:themeColor="accent3"/>
          <w:insideH w:val="nil"/>
          <w:insideV w:val="single" w:sz="8" w:space="0" w:color="20154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3"/>
          <w:left w:val="single" w:sz="8" w:space="0" w:color="201547" w:themeColor="accent3"/>
          <w:bottom w:val="single" w:sz="8" w:space="0" w:color="201547" w:themeColor="accent3"/>
          <w:right w:val="single" w:sz="8" w:space="0" w:color="201547" w:themeColor="accent3"/>
          <w:insideH w:val="nil"/>
          <w:insideV w:val="single" w:sz="8" w:space="0" w:color="20154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3"/>
          <w:left w:val="single" w:sz="8" w:space="0" w:color="201547" w:themeColor="accent3"/>
          <w:bottom w:val="single" w:sz="8" w:space="0" w:color="201547" w:themeColor="accent3"/>
          <w:right w:val="single" w:sz="8" w:space="0" w:color="201547" w:themeColor="accent3"/>
        </w:tcBorders>
      </w:tcPr>
    </w:tblStylePr>
    <w:tblStylePr w:type="band1Vert">
      <w:tblPr/>
      <w:tcPr>
        <w:tcBorders>
          <w:top w:val="single" w:sz="8" w:space="0" w:color="201547" w:themeColor="accent3"/>
          <w:left w:val="single" w:sz="8" w:space="0" w:color="201547" w:themeColor="accent3"/>
          <w:bottom w:val="single" w:sz="8" w:space="0" w:color="201547" w:themeColor="accent3"/>
          <w:right w:val="single" w:sz="8" w:space="0" w:color="201547" w:themeColor="accent3"/>
        </w:tcBorders>
        <w:shd w:val="clear" w:color="auto" w:fill="BBAFE7" w:themeFill="accent3" w:themeFillTint="3F"/>
      </w:tcPr>
    </w:tblStylePr>
    <w:tblStylePr w:type="band1Horz">
      <w:tblPr/>
      <w:tcPr>
        <w:tcBorders>
          <w:top w:val="single" w:sz="8" w:space="0" w:color="201547" w:themeColor="accent3"/>
          <w:left w:val="single" w:sz="8" w:space="0" w:color="201547" w:themeColor="accent3"/>
          <w:bottom w:val="single" w:sz="8" w:space="0" w:color="201547" w:themeColor="accent3"/>
          <w:right w:val="single" w:sz="8" w:space="0" w:color="201547" w:themeColor="accent3"/>
          <w:insideV w:val="single" w:sz="8" w:space="0" w:color="201547" w:themeColor="accent3"/>
        </w:tcBorders>
        <w:shd w:val="clear" w:color="auto" w:fill="BBAFE7" w:themeFill="accent3" w:themeFillTint="3F"/>
      </w:tcPr>
    </w:tblStylePr>
    <w:tblStylePr w:type="band2Horz">
      <w:tblPr/>
      <w:tcPr>
        <w:tcBorders>
          <w:top w:val="single" w:sz="8" w:space="0" w:color="201547" w:themeColor="accent3"/>
          <w:left w:val="single" w:sz="8" w:space="0" w:color="201547" w:themeColor="accent3"/>
          <w:bottom w:val="single" w:sz="8" w:space="0" w:color="201547" w:themeColor="accent3"/>
          <w:right w:val="single" w:sz="8" w:space="0" w:color="201547" w:themeColor="accent3"/>
          <w:insideV w:val="single" w:sz="8" w:space="0" w:color="201547" w:themeColor="accent3"/>
        </w:tcBorders>
      </w:tcPr>
    </w:tblStylePr>
  </w:style>
  <w:style w:type="table" w:styleId="LightGrid-Accent4">
    <w:name w:val="Light Grid Accent 4"/>
    <w:basedOn w:val="TableNormal"/>
    <w:uiPriority w:val="62"/>
    <w:semiHidden/>
    <w:rsid w:val="0021343A"/>
    <w:pPr>
      <w:spacing w:line="240" w:lineRule="auto"/>
    </w:pPr>
    <w:tblPr>
      <w:tblStyleRowBandSize w:val="1"/>
      <w:tblStyleColBandSize w:val="1"/>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4"/>
          <w:left w:val="single" w:sz="8" w:space="0" w:color="99E0DD" w:themeColor="accent4"/>
          <w:bottom w:val="single" w:sz="18" w:space="0" w:color="99E0DD" w:themeColor="accent4"/>
          <w:right w:val="single" w:sz="8" w:space="0" w:color="99E0DD" w:themeColor="accent4"/>
          <w:insideH w:val="nil"/>
          <w:insideV w:val="single" w:sz="8" w:space="0" w:color="99E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4"/>
          <w:left w:val="single" w:sz="8" w:space="0" w:color="99E0DD" w:themeColor="accent4"/>
          <w:bottom w:val="single" w:sz="8" w:space="0" w:color="99E0DD" w:themeColor="accent4"/>
          <w:right w:val="single" w:sz="8" w:space="0" w:color="99E0DD" w:themeColor="accent4"/>
          <w:insideH w:val="nil"/>
          <w:insideV w:val="single" w:sz="8" w:space="0" w:color="99E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tcPr>
    </w:tblStylePr>
    <w:tblStylePr w:type="band1Vert">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shd w:val="clear" w:color="auto" w:fill="E5F7F6" w:themeFill="accent4" w:themeFillTint="3F"/>
      </w:tcPr>
    </w:tblStylePr>
    <w:tblStylePr w:type="band1Horz">
      <w:tblPr/>
      <w:tcPr>
        <w:tcBorders>
          <w:top w:val="single" w:sz="8" w:space="0" w:color="99E0DD" w:themeColor="accent4"/>
          <w:left w:val="single" w:sz="8" w:space="0" w:color="99E0DD" w:themeColor="accent4"/>
          <w:bottom w:val="single" w:sz="8" w:space="0" w:color="99E0DD" w:themeColor="accent4"/>
          <w:right w:val="single" w:sz="8" w:space="0" w:color="99E0DD" w:themeColor="accent4"/>
          <w:insideV w:val="single" w:sz="8" w:space="0" w:color="99E0DD" w:themeColor="accent4"/>
        </w:tcBorders>
        <w:shd w:val="clear" w:color="auto" w:fill="E5F7F6" w:themeFill="accent4" w:themeFillTint="3F"/>
      </w:tcPr>
    </w:tblStylePr>
    <w:tblStylePr w:type="band2Horz">
      <w:tblPr/>
      <w:tcPr>
        <w:tcBorders>
          <w:top w:val="single" w:sz="8" w:space="0" w:color="99E0DD" w:themeColor="accent4"/>
          <w:left w:val="single" w:sz="8" w:space="0" w:color="99E0DD" w:themeColor="accent4"/>
          <w:bottom w:val="single" w:sz="8" w:space="0" w:color="99E0DD" w:themeColor="accent4"/>
          <w:right w:val="single" w:sz="8" w:space="0" w:color="99E0DD" w:themeColor="accent4"/>
          <w:insideV w:val="single" w:sz="8" w:space="0" w:color="99E0DD" w:themeColor="accent4"/>
        </w:tcBorders>
      </w:tcPr>
    </w:tblStylePr>
  </w:style>
  <w:style w:type="table" w:styleId="LightGrid-Accent5">
    <w:name w:val="Light Grid Accent 5"/>
    <w:basedOn w:val="TableNormal"/>
    <w:uiPriority w:val="62"/>
    <w:semiHidden/>
    <w:rsid w:val="0021343A"/>
    <w:pPr>
      <w:spacing w:line="240" w:lineRule="auto"/>
    </w:pPr>
    <w:tblPr>
      <w:tblStyleRowBandSize w:val="1"/>
      <w:tblStyleColBandSize w:val="1"/>
      <w:tblBorders>
        <w:top w:val="single" w:sz="8" w:space="0" w:color="99C7EB" w:themeColor="accent5"/>
        <w:left w:val="single" w:sz="8" w:space="0" w:color="99C7EB" w:themeColor="accent5"/>
        <w:bottom w:val="single" w:sz="8" w:space="0" w:color="99C7EB" w:themeColor="accent5"/>
        <w:right w:val="single" w:sz="8" w:space="0" w:color="99C7EB" w:themeColor="accent5"/>
        <w:insideH w:val="single" w:sz="8" w:space="0" w:color="99C7EB" w:themeColor="accent5"/>
        <w:insideV w:val="single" w:sz="8" w:space="0" w:color="99C7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7EB" w:themeColor="accent5"/>
          <w:left w:val="single" w:sz="8" w:space="0" w:color="99C7EB" w:themeColor="accent5"/>
          <w:bottom w:val="single" w:sz="18" w:space="0" w:color="99C7EB" w:themeColor="accent5"/>
          <w:right w:val="single" w:sz="8" w:space="0" w:color="99C7EB" w:themeColor="accent5"/>
          <w:insideH w:val="nil"/>
          <w:insideV w:val="single" w:sz="8" w:space="0" w:color="99C7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7EB" w:themeColor="accent5"/>
          <w:left w:val="single" w:sz="8" w:space="0" w:color="99C7EB" w:themeColor="accent5"/>
          <w:bottom w:val="single" w:sz="8" w:space="0" w:color="99C7EB" w:themeColor="accent5"/>
          <w:right w:val="single" w:sz="8" w:space="0" w:color="99C7EB" w:themeColor="accent5"/>
          <w:insideH w:val="nil"/>
          <w:insideV w:val="single" w:sz="8" w:space="0" w:color="99C7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7EB" w:themeColor="accent5"/>
          <w:left w:val="single" w:sz="8" w:space="0" w:color="99C7EB" w:themeColor="accent5"/>
          <w:bottom w:val="single" w:sz="8" w:space="0" w:color="99C7EB" w:themeColor="accent5"/>
          <w:right w:val="single" w:sz="8" w:space="0" w:color="99C7EB" w:themeColor="accent5"/>
        </w:tcBorders>
      </w:tcPr>
    </w:tblStylePr>
    <w:tblStylePr w:type="band1Vert">
      <w:tblPr/>
      <w:tcPr>
        <w:tcBorders>
          <w:top w:val="single" w:sz="8" w:space="0" w:color="99C7EB" w:themeColor="accent5"/>
          <w:left w:val="single" w:sz="8" w:space="0" w:color="99C7EB" w:themeColor="accent5"/>
          <w:bottom w:val="single" w:sz="8" w:space="0" w:color="99C7EB" w:themeColor="accent5"/>
          <w:right w:val="single" w:sz="8" w:space="0" w:color="99C7EB" w:themeColor="accent5"/>
        </w:tcBorders>
        <w:shd w:val="clear" w:color="auto" w:fill="E5F1FA" w:themeFill="accent5" w:themeFillTint="3F"/>
      </w:tcPr>
    </w:tblStylePr>
    <w:tblStylePr w:type="band1Horz">
      <w:tblPr/>
      <w:tcPr>
        <w:tcBorders>
          <w:top w:val="single" w:sz="8" w:space="0" w:color="99C7EB" w:themeColor="accent5"/>
          <w:left w:val="single" w:sz="8" w:space="0" w:color="99C7EB" w:themeColor="accent5"/>
          <w:bottom w:val="single" w:sz="8" w:space="0" w:color="99C7EB" w:themeColor="accent5"/>
          <w:right w:val="single" w:sz="8" w:space="0" w:color="99C7EB" w:themeColor="accent5"/>
          <w:insideV w:val="single" w:sz="8" w:space="0" w:color="99C7EB" w:themeColor="accent5"/>
        </w:tcBorders>
        <w:shd w:val="clear" w:color="auto" w:fill="E5F1FA" w:themeFill="accent5" w:themeFillTint="3F"/>
      </w:tcPr>
    </w:tblStylePr>
    <w:tblStylePr w:type="band2Horz">
      <w:tblPr/>
      <w:tcPr>
        <w:tcBorders>
          <w:top w:val="single" w:sz="8" w:space="0" w:color="99C7EB" w:themeColor="accent5"/>
          <w:left w:val="single" w:sz="8" w:space="0" w:color="99C7EB" w:themeColor="accent5"/>
          <w:bottom w:val="single" w:sz="8" w:space="0" w:color="99C7EB" w:themeColor="accent5"/>
          <w:right w:val="single" w:sz="8" w:space="0" w:color="99C7EB" w:themeColor="accent5"/>
          <w:insideV w:val="single" w:sz="8" w:space="0" w:color="99C7EB" w:themeColor="accent5"/>
        </w:tcBorders>
      </w:tcPr>
    </w:tblStylePr>
  </w:style>
  <w:style w:type="table" w:styleId="LightGrid-Accent6">
    <w:name w:val="Light Grid Accent 6"/>
    <w:basedOn w:val="TableNormal"/>
    <w:uiPriority w:val="62"/>
    <w:semiHidden/>
    <w:rsid w:val="0021343A"/>
    <w:pPr>
      <w:spacing w:line="240" w:lineRule="auto"/>
    </w:pPr>
    <w:tblPr>
      <w:tblStyleRowBandSize w:val="1"/>
      <w:tblStyleColBandSize w:val="1"/>
      <w:tblBorders>
        <w:top w:val="single" w:sz="8" w:space="0" w:color="A6A1B5" w:themeColor="accent6"/>
        <w:left w:val="single" w:sz="8" w:space="0" w:color="A6A1B5" w:themeColor="accent6"/>
        <w:bottom w:val="single" w:sz="8" w:space="0" w:color="A6A1B5" w:themeColor="accent6"/>
        <w:right w:val="single" w:sz="8" w:space="0" w:color="A6A1B5" w:themeColor="accent6"/>
        <w:insideH w:val="single" w:sz="8" w:space="0" w:color="A6A1B5" w:themeColor="accent6"/>
        <w:insideV w:val="single" w:sz="8" w:space="0" w:color="A6A1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1B5" w:themeColor="accent6"/>
          <w:left w:val="single" w:sz="8" w:space="0" w:color="A6A1B5" w:themeColor="accent6"/>
          <w:bottom w:val="single" w:sz="18" w:space="0" w:color="A6A1B5" w:themeColor="accent6"/>
          <w:right w:val="single" w:sz="8" w:space="0" w:color="A6A1B5" w:themeColor="accent6"/>
          <w:insideH w:val="nil"/>
          <w:insideV w:val="single" w:sz="8" w:space="0" w:color="A6A1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1B5" w:themeColor="accent6"/>
          <w:left w:val="single" w:sz="8" w:space="0" w:color="A6A1B5" w:themeColor="accent6"/>
          <w:bottom w:val="single" w:sz="8" w:space="0" w:color="A6A1B5" w:themeColor="accent6"/>
          <w:right w:val="single" w:sz="8" w:space="0" w:color="A6A1B5" w:themeColor="accent6"/>
          <w:insideH w:val="nil"/>
          <w:insideV w:val="single" w:sz="8" w:space="0" w:color="A6A1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1B5" w:themeColor="accent6"/>
          <w:left w:val="single" w:sz="8" w:space="0" w:color="A6A1B5" w:themeColor="accent6"/>
          <w:bottom w:val="single" w:sz="8" w:space="0" w:color="A6A1B5" w:themeColor="accent6"/>
          <w:right w:val="single" w:sz="8" w:space="0" w:color="A6A1B5" w:themeColor="accent6"/>
        </w:tcBorders>
      </w:tcPr>
    </w:tblStylePr>
    <w:tblStylePr w:type="band1Vert">
      <w:tblPr/>
      <w:tcPr>
        <w:tcBorders>
          <w:top w:val="single" w:sz="8" w:space="0" w:color="A6A1B5" w:themeColor="accent6"/>
          <w:left w:val="single" w:sz="8" w:space="0" w:color="A6A1B5" w:themeColor="accent6"/>
          <w:bottom w:val="single" w:sz="8" w:space="0" w:color="A6A1B5" w:themeColor="accent6"/>
          <w:right w:val="single" w:sz="8" w:space="0" w:color="A6A1B5" w:themeColor="accent6"/>
        </w:tcBorders>
        <w:shd w:val="clear" w:color="auto" w:fill="E8E7EC" w:themeFill="accent6" w:themeFillTint="3F"/>
      </w:tcPr>
    </w:tblStylePr>
    <w:tblStylePr w:type="band1Horz">
      <w:tblPr/>
      <w:tcPr>
        <w:tcBorders>
          <w:top w:val="single" w:sz="8" w:space="0" w:color="A6A1B5" w:themeColor="accent6"/>
          <w:left w:val="single" w:sz="8" w:space="0" w:color="A6A1B5" w:themeColor="accent6"/>
          <w:bottom w:val="single" w:sz="8" w:space="0" w:color="A6A1B5" w:themeColor="accent6"/>
          <w:right w:val="single" w:sz="8" w:space="0" w:color="A6A1B5" w:themeColor="accent6"/>
          <w:insideV w:val="single" w:sz="8" w:space="0" w:color="A6A1B5" w:themeColor="accent6"/>
        </w:tcBorders>
        <w:shd w:val="clear" w:color="auto" w:fill="E8E7EC" w:themeFill="accent6" w:themeFillTint="3F"/>
      </w:tcPr>
    </w:tblStylePr>
    <w:tblStylePr w:type="band2Horz">
      <w:tblPr/>
      <w:tcPr>
        <w:tcBorders>
          <w:top w:val="single" w:sz="8" w:space="0" w:color="A6A1B5" w:themeColor="accent6"/>
          <w:left w:val="single" w:sz="8" w:space="0" w:color="A6A1B5" w:themeColor="accent6"/>
          <w:bottom w:val="single" w:sz="8" w:space="0" w:color="A6A1B5" w:themeColor="accent6"/>
          <w:right w:val="single" w:sz="8" w:space="0" w:color="A6A1B5" w:themeColor="accent6"/>
          <w:insideV w:val="single" w:sz="8" w:space="0" w:color="A6A1B5" w:themeColor="accent6"/>
        </w:tcBorders>
      </w:tcPr>
    </w:tblStylePr>
  </w:style>
  <w:style w:type="table" w:styleId="LightList">
    <w:name w:val="Light List"/>
    <w:basedOn w:val="TableNormal"/>
    <w:uiPriority w:val="61"/>
    <w:semiHidden/>
    <w:rsid w:val="0021343A"/>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1343A"/>
    <w:pPr>
      <w:spacing w:line="240" w:lineRule="auto"/>
    </w:p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tblBorders>
    </w:tblPr>
    <w:tblStylePr w:type="firstRow">
      <w:pPr>
        <w:spacing w:before="0" w:after="0" w:line="240" w:lineRule="auto"/>
      </w:pPr>
      <w:rPr>
        <w:b/>
        <w:bCs/>
        <w:color w:val="FFFFFF" w:themeColor="background1"/>
      </w:rPr>
      <w:tblPr/>
      <w:tcPr>
        <w:shd w:val="clear" w:color="auto" w:fill="00B2A9" w:themeFill="accent1"/>
      </w:tcPr>
    </w:tblStylePr>
    <w:tblStylePr w:type="lastRow">
      <w:pPr>
        <w:spacing w:before="0" w:after="0" w:line="240" w:lineRule="auto"/>
      </w:pPr>
      <w:rPr>
        <w:b/>
        <w:bCs/>
      </w:rPr>
      <w:tblPr/>
      <w:tcPr>
        <w:tcBorders>
          <w:top w:val="double" w:sz="6" w:space="0" w:color="00B2A9" w:themeColor="accent1"/>
          <w:left w:val="single" w:sz="8" w:space="0" w:color="00B2A9" w:themeColor="accent1"/>
          <w:bottom w:val="single" w:sz="8" w:space="0" w:color="00B2A9" w:themeColor="accent1"/>
          <w:right w:val="single" w:sz="8" w:space="0" w:color="00B2A9" w:themeColor="accent1"/>
        </w:tcBorders>
      </w:tcPr>
    </w:tblStylePr>
    <w:tblStylePr w:type="firstCol">
      <w:rPr>
        <w:b/>
        <w:bCs/>
      </w:rPr>
    </w:tblStylePr>
    <w:tblStylePr w:type="lastCol">
      <w:rPr>
        <w:b/>
        <w:bCs/>
      </w:rPr>
    </w:tblStylePr>
    <w:tblStylePr w:type="band1Vert">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tblStylePr w:type="band1Horz">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style>
  <w:style w:type="table" w:styleId="LightList-Accent2">
    <w:name w:val="Light List Accent 2"/>
    <w:basedOn w:val="TableNormal"/>
    <w:uiPriority w:val="61"/>
    <w:semiHidden/>
    <w:rsid w:val="0021343A"/>
    <w:pPr>
      <w:spacing w:line="240" w:lineRule="auto"/>
    </w:pPr>
    <w:tblPr>
      <w:tblStyleRowBandSize w:val="1"/>
      <w:tblStyleColBandSize w:val="1"/>
      <w:tblBorders>
        <w:top w:val="single" w:sz="8" w:space="0" w:color="0072CE" w:themeColor="accent2"/>
        <w:left w:val="single" w:sz="8" w:space="0" w:color="0072CE" w:themeColor="accent2"/>
        <w:bottom w:val="single" w:sz="8" w:space="0" w:color="0072CE" w:themeColor="accent2"/>
        <w:right w:val="single" w:sz="8" w:space="0" w:color="0072CE" w:themeColor="accent2"/>
      </w:tblBorders>
    </w:tblPr>
    <w:tblStylePr w:type="firstRow">
      <w:pPr>
        <w:spacing w:before="0" w:after="0" w:line="240" w:lineRule="auto"/>
      </w:pPr>
      <w:rPr>
        <w:b/>
        <w:bCs/>
        <w:color w:val="FFFFFF" w:themeColor="background1"/>
      </w:rPr>
      <w:tblPr/>
      <w:tcPr>
        <w:shd w:val="clear" w:color="auto" w:fill="0072CE" w:themeFill="accent2"/>
      </w:tcPr>
    </w:tblStylePr>
    <w:tblStylePr w:type="lastRow">
      <w:pPr>
        <w:spacing w:before="0" w:after="0" w:line="240" w:lineRule="auto"/>
      </w:pPr>
      <w:rPr>
        <w:b/>
        <w:bCs/>
      </w:rPr>
      <w:tblPr/>
      <w:tcPr>
        <w:tcBorders>
          <w:top w:val="double" w:sz="6" w:space="0" w:color="0072CE" w:themeColor="accent2"/>
          <w:left w:val="single" w:sz="8" w:space="0" w:color="0072CE" w:themeColor="accent2"/>
          <w:bottom w:val="single" w:sz="8" w:space="0" w:color="0072CE" w:themeColor="accent2"/>
          <w:right w:val="single" w:sz="8" w:space="0" w:color="0072CE" w:themeColor="accent2"/>
        </w:tcBorders>
      </w:tcPr>
    </w:tblStylePr>
    <w:tblStylePr w:type="firstCol">
      <w:rPr>
        <w:b/>
        <w:bCs/>
      </w:rPr>
    </w:tblStylePr>
    <w:tblStylePr w:type="lastCol">
      <w:rPr>
        <w:b/>
        <w:bCs/>
      </w:rPr>
    </w:tblStylePr>
    <w:tblStylePr w:type="band1Vert">
      <w:tblPr/>
      <w:tcPr>
        <w:tcBorders>
          <w:top w:val="single" w:sz="8" w:space="0" w:color="0072CE" w:themeColor="accent2"/>
          <w:left w:val="single" w:sz="8" w:space="0" w:color="0072CE" w:themeColor="accent2"/>
          <w:bottom w:val="single" w:sz="8" w:space="0" w:color="0072CE" w:themeColor="accent2"/>
          <w:right w:val="single" w:sz="8" w:space="0" w:color="0072CE" w:themeColor="accent2"/>
        </w:tcBorders>
      </w:tcPr>
    </w:tblStylePr>
    <w:tblStylePr w:type="band1Horz">
      <w:tblPr/>
      <w:tcPr>
        <w:tcBorders>
          <w:top w:val="single" w:sz="8" w:space="0" w:color="0072CE" w:themeColor="accent2"/>
          <w:left w:val="single" w:sz="8" w:space="0" w:color="0072CE" w:themeColor="accent2"/>
          <w:bottom w:val="single" w:sz="8" w:space="0" w:color="0072CE" w:themeColor="accent2"/>
          <w:right w:val="single" w:sz="8" w:space="0" w:color="0072CE" w:themeColor="accent2"/>
        </w:tcBorders>
      </w:tcPr>
    </w:tblStylePr>
  </w:style>
  <w:style w:type="table" w:styleId="LightList-Accent3">
    <w:name w:val="Light List Accent 3"/>
    <w:basedOn w:val="TableNormal"/>
    <w:uiPriority w:val="61"/>
    <w:semiHidden/>
    <w:rsid w:val="0021343A"/>
    <w:pPr>
      <w:spacing w:line="240" w:lineRule="auto"/>
    </w:pPr>
    <w:tblPr>
      <w:tblStyleRowBandSize w:val="1"/>
      <w:tblStyleColBandSize w:val="1"/>
      <w:tblBorders>
        <w:top w:val="single" w:sz="8" w:space="0" w:color="201547" w:themeColor="accent3"/>
        <w:left w:val="single" w:sz="8" w:space="0" w:color="201547" w:themeColor="accent3"/>
        <w:bottom w:val="single" w:sz="8" w:space="0" w:color="201547" w:themeColor="accent3"/>
        <w:right w:val="single" w:sz="8" w:space="0" w:color="201547" w:themeColor="accent3"/>
      </w:tblBorders>
    </w:tblPr>
    <w:tblStylePr w:type="firstRow">
      <w:pPr>
        <w:spacing w:before="0" w:after="0" w:line="240" w:lineRule="auto"/>
      </w:pPr>
      <w:rPr>
        <w:b/>
        <w:bCs/>
        <w:color w:val="FFFFFF" w:themeColor="background1"/>
      </w:rPr>
      <w:tblPr/>
      <w:tcPr>
        <w:shd w:val="clear" w:color="auto" w:fill="201547" w:themeFill="accent3"/>
      </w:tcPr>
    </w:tblStylePr>
    <w:tblStylePr w:type="lastRow">
      <w:pPr>
        <w:spacing w:before="0" w:after="0" w:line="240" w:lineRule="auto"/>
      </w:pPr>
      <w:rPr>
        <w:b/>
        <w:bCs/>
      </w:rPr>
      <w:tblPr/>
      <w:tcPr>
        <w:tcBorders>
          <w:top w:val="double" w:sz="6" w:space="0" w:color="201547" w:themeColor="accent3"/>
          <w:left w:val="single" w:sz="8" w:space="0" w:color="201547" w:themeColor="accent3"/>
          <w:bottom w:val="single" w:sz="8" w:space="0" w:color="201547" w:themeColor="accent3"/>
          <w:right w:val="single" w:sz="8" w:space="0" w:color="201547" w:themeColor="accent3"/>
        </w:tcBorders>
      </w:tcPr>
    </w:tblStylePr>
    <w:tblStylePr w:type="firstCol">
      <w:rPr>
        <w:b/>
        <w:bCs/>
      </w:rPr>
    </w:tblStylePr>
    <w:tblStylePr w:type="lastCol">
      <w:rPr>
        <w:b/>
        <w:bCs/>
      </w:rPr>
    </w:tblStylePr>
    <w:tblStylePr w:type="band1Vert">
      <w:tblPr/>
      <w:tcPr>
        <w:tcBorders>
          <w:top w:val="single" w:sz="8" w:space="0" w:color="201547" w:themeColor="accent3"/>
          <w:left w:val="single" w:sz="8" w:space="0" w:color="201547" w:themeColor="accent3"/>
          <w:bottom w:val="single" w:sz="8" w:space="0" w:color="201547" w:themeColor="accent3"/>
          <w:right w:val="single" w:sz="8" w:space="0" w:color="201547" w:themeColor="accent3"/>
        </w:tcBorders>
      </w:tcPr>
    </w:tblStylePr>
    <w:tblStylePr w:type="band1Horz">
      <w:tblPr/>
      <w:tcPr>
        <w:tcBorders>
          <w:top w:val="single" w:sz="8" w:space="0" w:color="201547" w:themeColor="accent3"/>
          <w:left w:val="single" w:sz="8" w:space="0" w:color="201547" w:themeColor="accent3"/>
          <w:bottom w:val="single" w:sz="8" w:space="0" w:color="201547" w:themeColor="accent3"/>
          <w:right w:val="single" w:sz="8" w:space="0" w:color="201547" w:themeColor="accent3"/>
        </w:tcBorders>
      </w:tcPr>
    </w:tblStylePr>
  </w:style>
  <w:style w:type="table" w:styleId="LightList-Accent4">
    <w:name w:val="Light List Accent 4"/>
    <w:basedOn w:val="TableNormal"/>
    <w:uiPriority w:val="61"/>
    <w:semiHidden/>
    <w:rsid w:val="0021343A"/>
    <w:pPr>
      <w:spacing w:line="240" w:lineRule="auto"/>
    </w:pPr>
    <w:tblPr>
      <w:tblStyleRowBandSize w:val="1"/>
      <w:tblStyleColBandSize w:val="1"/>
      <w:tblBorders>
        <w:top w:val="single" w:sz="8" w:space="0" w:color="99E0DD" w:themeColor="accent4"/>
        <w:left w:val="single" w:sz="8" w:space="0" w:color="99E0DD" w:themeColor="accent4"/>
        <w:bottom w:val="single" w:sz="8" w:space="0" w:color="99E0DD" w:themeColor="accent4"/>
        <w:right w:val="single" w:sz="8" w:space="0" w:color="99E0DD" w:themeColor="accent4"/>
      </w:tblBorders>
    </w:tblPr>
    <w:tblStylePr w:type="firstRow">
      <w:pPr>
        <w:spacing w:before="0" w:after="0" w:line="240" w:lineRule="auto"/>
      </w:pPr>
      <w:rPr>
        <w:b/>
        <w:bCs/>
        <w:color w:val="FFFFFF" w:themeColor="background1"/>
      </w:rPr>
      <w:tblPr/>
      <w:tcPr>
        <w:shd w:val="clear" w:color="auto" w:fill="99E0DD" w:themeFill="accent4"/>
      </w:tcPr>
    </w:tblStylePr>
    <w:tblStylePr w:type="lastRow">
      <w:pPr>
        <w:spacing w:before="0" w:after="0" w:line="240" w:lineRule="auto"/>
      </w:pPr>
      <w:rPr>
        <w:b/>
        <w:bCs/>
      </w:rPr>
      <w:tblPr/>
      <w:tcPr>
        <w:tcBorders>
          <w:top w:val="double" w:sz="6" w:space="0" w:color="99E0DD" w:themeColor="accent4"/>
          <w:left w:val="single" w:sz="8" w:space="0" w:color="99E0DD" w:themeColor="accent4"/>
          <w:bottom w:val="single" w:sz="8" w:space="0" w:color="99E0DD" w:themeColor="accent4"/>
          <w:right w:val="single" w:sz="8" w:space="0" w:color="99E0DD" w:themeColor="accent4"/>
        </w:tcBorders>
      </w:tcPr>
    </w:tblStylePr>
    <w:tblStylePr w:type="firstCol">
      <w:rPr>
        <w:b/>
        <w:bCs/>
      </w:rPr>
    </w:tblStylePr>
    <w:tblStylePr w:type="lastCol">
      <w:rPr>
        <w:b/>
        <w:bCs/>
      </w:rPr>
    </w:tblStylePr>
    <w:tblStylePr w:type="band1Vert">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tcPr>
    </w:tblStylePr>
    <w:tblStylePr w:type="band1Horz">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tcPr>
    </w:tblStylePr>
  </w:style>
  <w:style w:type="table" w:styleId="LightList-Accent5">
    <w:name w:val="Light List Accent 5"/>
    <w:basedOn w:val="TableNormal"/>
    <w:uiPriority w:val="61"/>
    <w:semiHidden/>
    <w:rsid w:val="0021343A"/>
    <w:pPr>
      <w:spacing w:line="240" w:lineRule="auto"/>
    </w:pPr>
    <w:tblPr>
      <w:tblStyleRowBandSize w:val="1"/>
      <w:tblStyleColBandSize w:val="1"/>
      <w:tblBorders>
        <w:top w:val="single" w:sz="8" w:space="0" w:color="99C7EB" w:themeColor="accent5"/>
        <w:left w:val="single" w:sz="8" w:space="0" w:color="99C7EB" w:themeColor="accent5"/>
        <w:bottom w:val="single" w:sz="8" w:space="0" w:color="99C7EB" w:themeColor="accent5"/>
        <w:right w:val="single" w:sz="8" w:space="0" w:color="99C7EB" w:themeColor="accent5"/>
      </w:tblBorders>
    </w:tblPr>
    <w:tblStylePr w:type="firstRow">
      <w:pPr>
        <w:spacing w:before="0" w:after="0" w:line="240" w:lineRule="auto"/>
      </w:pPr>
      <w:rPr>
        <w:b/>
        <w:bCs/>
        <w:color w:val="FFFFFF" w:themeColor="background1"/>
      </w:rPr>
      <w:tblPr/>
      <w:tcPr>
        <w:shd w:val="clear" w:color="auto" w:fill="99C7EB" w:themeFill="accent5"/>
      </w:tcPr>
    </w:tblStylePr>
    <w:tblStylePr w:type="lastRow">
      <w:pPr>
        <w:spacing w:before="0" w:after="0" w:line="240" w:lineRule="auto"/>
      </w:pPr>
      <w:rPr>
        <w:b/>
        <w:bCs/>
      </w:rPr>
      <w:tblPr/>
      <w:tcPr>
        <w:tcBorders>
          <w:top w:val="double" w:sz="6" w:space="0" w:color="99C7EB" w:themeColor="accent5"/>
          <w:left w:val="single" w:sz="8" w:space="0" w:color="99C7EB" w:themeColor="accent5"/>
          <w:bottom w:val="single" w:sz="8" w:space="0" w:color="99C7EB" w:themeColor="accent5"/>
          <w:right w:val="single" w:sz="8" w:space="0" w:color="99C7EB" w:themeColor="accent5"/>
        </w:tcBorders>
      </w:tcPr>
    </w:tblStylePr>
    <w:tblStylePr w:type="firstCol">
      <w:rPr>
        <w:b/>
        <w:bCs/>
      </w:rPr>
    </w:tblStylePr>
    <w:tblStylePr w:type="lastCol">
      <w:rPr>
        <w:b/>
        <w:bCs/>
      </w:rPr>
    </w:tblStylePr>
    <w:tblStylePr w:type="band1Vert">
      <w:tblPr/>
      <w:tcPr>
        <w:tcBorders>
          <w:top w:val="single" w:sz="8" w:space="0" w:color="99C7EB" w:themeColor="accent5"/>
          <w:left w:val="single" w:sz="8" w:space="0" w:color="99C7EB" w:themeColor="accent5"/>
          <w:bottom w:val="single" w:sz="8" w:space="0" w:color="99C7EB" w:themeColor="accent5"/>
          <w:right w:val="single" w:sz="8" w:space="0" w:color="99C7EB" w:themeColor="accent5"/>
        </w:tcBorders>
      </w:tcPr>
    </w:tblStylePr>
    <w:tblStylePr w:type="band1Horz">
      <w:tblPr/>
      <w:tcPr>
        <w:tcBorders>
          <w:top w:val="single" w:sz="8" w:space="0" w:color="99C7EB" w:themeColor="accent5"/>
          <w:left w:val="single" w:sz="8" w:space="0" w:color="99C7EB" w:themeColor="accent5"/>
          <w:bottom w:val="single" w:sz="8" w:space="0" w:color="99C7EB" w:themeColor="accent5"/>
          <w:right w:val="single" w:sz="8" w:space="0" w:color="99C7EB" w:themeColor="accent5"/>
        </w:tcBorders>
      </w:tcPr>
    </w:tblStylePr>
  </w:style>
  <w:style w:type="table" w:styleId="LightList-Accent6">
    <w:name w:val="Light List Accent 6"/>
    <w:basedOn w:val="TableNormal"/>
    <w:uiPriority w:val="61"/>
    <w:semiHidden/>
    <w:rsid w:val="0021343A"/>
    <w:pPr>
      <w:spacing w:line="240" w:lineRule="auto"/>
    </w:pPr>
    <w:tblPr>
      <w:tblStyleRowBandSize w:val="1"/>
      <w:tblStyleColBandSize w:val="1"/>
      <w:tblBorders>
        <w:top w:val="single" w:sz="8" w:space="0" w:color="A6A1B5" w:themeColor="accent6"/>
        <w:left w:val="single" w:sz="8" w:space="0" w:color="A6A1B5" w:themeColor="accent6"/>
        <w:bottom w:val="single" w:sz="8" w:space="0" w:color="A6A1B5" w:themeColor="accent6"/>
        <w:right w:val="single" w:sz="8" w:space="0" w:color="A6A1B5" w:themeColor="accent6"/>
      </w:tblBorders>
    </w:tblPr>
    <w:tblStylePr w:type="firstRow">
      <w:pPr>
        <w:spacing w:before="0" w:after="0" w:line="240" w:lineRule="auto"/>
      </w:pPr>
      <w:rPr>
        <w:b/>
        <w:bCs/>
        <w:color w:val="FFFFFF" w:themeColor="background1"/>
      </w:rPr>
      <w:tblPr/>
      <w:tcPr>
        <w:shd w:val="clear" w:color="auto" w:fill="A6A1B5" w:themeFill="accent6"/>
      </w:tcPr>
    </w:tblStylePr>
    <w:tblStylePr w:type="lastRow">
      <w:pPr>
        <w:spacing w:before="0" w:after="0" w:line="240" w:lineRule="auto"/>
      </w:pPr>
      <w:rPr>
        <w:b/>
        <w:bCs/>
      </w:rPr>
      <w:tblPr/>
      <w:tcPr>
        <w:tcBorders>
          <w:top w:val="double" w:sz="6" w:space="0" w:color="A6A1B5" w:themeColor="accent6"/>
          <w:left w:val="single" w:sz="8" w:space="0" w:color="A6A1B5" w:themeColor="accent6"/>
          <w:bottom w:val="single" w:sz="8" w:space="0" w:color="A6A1B5" w:themeColor="accent6"/>
          <w:right w:val="single" w:sz="8" w:space="0" w:color="A6A1B5" w:themeColor="accent6"/>
        </w:tcBorders>
      </w:tcPr>
    </w:tblStylePr>
    <w:tblStylePr w:type="firstCol">
      <w:rPr>
        <w:b/>
        <w:bCs/>
      </w:rPr>
    </w:tblStylePr>
    <w:tblStylePr w:type="lastCol">
      <w:rPr>
        <w:b/>
        <w:bCs/>
      </w:rPr>
    </w:tblStylePr>
    <w:tblStylePr w:type="band1Vert">
      <w:tblPr/>
      <w:tcPr>
        <w:tcBorders>
          <w:top w:val="single" w:sz="8" w:space="0" w:color="A6A1B5" w:themeColor="accent6"/>
          <w:left w:val="single" w:sz="8" w:space="0" w:color="A6A1B5" w:themeColor="accent6"/>
          <w:bottom w:val="single" w:sz="8" w:space="0" w:color="A6A1B5" w:themeColor="accent6"/>
          <w:right w:val="single" w:sz="8" w:space="0" w:color="A6A1B5" w:themeColor="accent6"/>
        </w:tcBorders>
      </w:tcPr>
    </w:tblStylePr>
    <w:tblStylePr w:type="band1Horz">
      <w:tblPr/>
      <w:tcPr>
        <w:tcBorders>
          <w:top w:val="single" w:sz="8" w:space="0" w:color="A6A1B5" w:themeColor="accent6"/>
          <w:left w:val="single" w:sz="8" w:space="0" w:color="A6A1B5" w:themeColor="accent6"/>
          <w:bottom w:val="single" w:sz="8" w:space="0" w:color="A6A1B5" w:themeColor="accent6"/>
          <w:right w:val="single" w:sz="8" w:space="0" w:color="A6A1B5" w:themeColor="accent6"/>
        </w:tcBorders>
      </w:tcPr>
    </w:tblStylePr>
  </w:style>
  <w:style w:type="table" w:styleId="LightShading">
    <w:name w:val="Light Shading"/>
    <w:basedOn w:val="TableNormal"/>
    <w:uiPriority w:val="60"/>
    <w:semiHidden/>
    <w:rsid w:val="0021343A"/>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1343A"/>
    <w:pPr>
      <w:spacing w:line="240" w:lineRule="auto"/>
    </w:pPr>
    <w:rPr>
      <w:color w:val="00857E" w:themeColor="accent1" w:themeShade="BF"/>
    </w:rPr>
    <w:tblPr>
      <w:tblStyleRowBandSize w:val="1"/>
      <w:tblStyleColBandSize w:val="1"/>
      <w:tblBorders>
        <w:top w:val="single" w:sz="8" w:space="0" w:color="00B2A9" w:themeColor="accent1"/>
        <w:bottom w:val="single" w:sz="8" w:space="0" w:color="00B2A9" w:themeColor="accent1"/>
      </w:tblBorders>
    </w:tblPr>
    <w:tblStylePr w:type="firstRow">
      <w:pPr>
        <w:spacing w:before="0" w:after="0" w:line="240" w:lineRule="auto"/>
      </w:pPr>
      <w:rPr>
        <w:b/>
        <w:bCs/>
      </w:rPr>
      <w:tblPr/>
      <w:tcPr>
        <w:tcBorders>
          <w:top w:val="single" w:sz="8" w:space="0" w:color="00B2A9" w:themeColor="accent1"/>
          <w:left w:val="nil"/>
          <w:bottom w:val="single" w:sz="8" w:space="0" w:color="00B2A9" w:themeColor="accent1"/>
          <w:right w:val="nil"/>
          <w:insideH w:val="nil"/>
          <w:insideV w:val="nil"/>
        </w:tcBorders>
      </w:tcPr>
    </w:tblStylePr>
    <w:tblStylePr w:type="lastRow">
      <w:pPr>
        <w:spacing w:before="0" w:after="0" w:line="240" w:lineRule="auto"/>
      </w:pPr>
      <w:rPr>
        <w:b/>
        <w:bCs/>
      </w:rPr>
      <w:tblPr/>
      <w:tcPr>
        <w:tcBorders>
          <w:top w:val="single" w:sz="8" w:space="0" w:color="00B2A9" w:themeColor="accent1"/>
          <w:left w:val="nil"/>
          <w:bottom w:val="single" w:sz="8" w:space="0" w:color="00B2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1" w:themeFillTint="3F"/>
      </w:tcPr>
    </w:tblStylePr>
    <w:tblStylePr w:type="band1Horz">
      <w:tblPr/>
      <w:tcPr>
        <w:tcBorders>
          <w:left w:val="nil"/>
          <w:right w:val="nil"/>
          <w:insideH w:val="nil"/>
          <w:insideV w:val="nil"/>
        </w:tcBorders>
        <w:shd w:val="clear" w:color="auto" w:fill="ACFFFA" w:themeFill="accent1" w:themeFillTint="3F"/>
      </w:tcPr>
    </w:tblStylePr>
  </w:style>
  <w:style w:type="table" w:styleId="LightShading-Accent2">
    <w:name w:val="Light Shading Accent 2"/>
    <w:basedOn w:val="TableNormal"/>
    <w:uiPriority w:val="60"/>
    <w:semiHidden/>
    <w:rsid w:val="0021343A"/>
    <w:pPr>
      <w:spacing w:line="240" w:lineRule="auto"/>
    </w:pPr>
    <w:rPr>
      <w:color w:val="00559A" w:themeColor="accent2" w:themeShade="BF"/>
    </w:rPr>
    <w:tblPr>
      <w:tblStyleRowBandSize w:val="1"/>
      <w:tblStyleColBandSize w:val="1"/>
      <w:tblBorders>
        <w:top w:val="single" w:sz="8" w:space="0" w:color="0072CE" w:themeColor="accent2"/>
        <w:bottom w:val="single" w:sz="8" w:space="0" w:color="0072CE" w:themeColor="accent2"/>
      </w:tblBorders>
    </w:tblPr>
    <w:tblStylePr w:type="firstRow">
      <w:pPr>
        <w:spacing w:before="0" w:after="0" w:line="240" w:lineRule="auto"/>
      </w:pPr>
      <w:rPr>
        <w:b/>
        <w:bCs/>
      </w:rPr>
      <w:tblPr/>
      <w:tcPr>
        <w:tcBorders>
          <w:top w:val="single" w:sz="8" w:space="0" w:color="0072CE" w:themeColor="accent2"/>
          <w:left w:val="nil"/>
          <w:bottom w:val="single" w:sz="8" w:space="0" w:color="0072CE" w:themeColor="accent2"/>
          <w:right w:val="nil"/>
          <w:insideH w:val="nil"/>
          <w:insideV w:val="nil"/>
        </w:tcBorders>
      </w:tcPr>
    </w:tblStylePr>
    <w:tblStylePr w:type="lastRow">
      <w:pPr>
        <w:spacing w:before="0" w:after="0" w:line="240" w:lineRule="auto"/>
      </w:pPr>
      <w:rPr>
        <w:b/>
        <w:bCs/>
      </w:rPr>
      <w:tblPr/>
      <w:tcPr>
        <w:tcBorders>
          <w:top w:val="single" w:sz="8" w:space="0" w:color="0072CE" w:themeColor="accent2"/>
          <w:left w:val="nil"/>
          <w:bottom w:val="single" w:sz="8" w:space="0" w:color="0072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2" w:themeFillTint="3F"/>
      </w:tcPr>
    </w:tblStylePr>
    <w:tblStylePr w:type="band1Horz">
      <w:tblPr/>
      <w:tcPr>
        <w:tcBorders>
          <w:left w:val="nil"/>
          <w:right w:val="nil"/>
          <w:insideH w:val="nil"/>
          <w:insideV w:val="nil"/>
        </w:tcBorders>
        <w:shd w:val="clear" w:color="auto" w:fill="B3DDFF" w:themeFill="accent2" w:themeFillTint="3F"/>
      </w:tcPr>
    </w:tblStylePr>
  </w:style>
  <w:style w:type="table" w:styleId="LightShading-Accent3">
    <w:name w:val="Light Shading Accent 3"/>
    <w:basedOn w:val="TableNormal"/>
    <w:uiPriority w:val="60"/>
    <w:semiHidden/>
    <w:rsid w:val="0021343A"/>
    <w:pPr>
      <w:spacing w:line="240" w:lineRule="auto"/>
    </w:pPr>
    <w:rPr>
      <w:color w:val="170F34" w:themeColor="accent3" w:themeShade="BF"/>
    </w:rPr>
    <w:tblPr>
      <w:tblStyleRowBandSize w:val="1"/>
      <w:tblStyleColBandSize w:val="1"/>
      <w:tblBorders>
        <w:top w:val="single" w:sz="8" w:space="0" w:color="201547" w:themeColor="accent3"/>
        <w:bottom w:val="single" w:sz="8" w:space="0" w:color="201547" w:themeColor="accent3"/>
      </w:tblBorders>
    </w:tblPr>
    <w:tblStylePr w:type="firstRow">
      <w:pPr>
        <w:spacing w:before="0" w:after="0" w:line="240" w:lineRule="auto"/>
      </w:pPr>
      <w:rPr>
        <w:b/>
        <w:bCs/>
      </w:rPr>
      <w:tblPr/>
      <w:tcPr>
        <w:tcBorders>
          <w:top w:val="single" w:sz="8" w:space="0" w:color="201547" w:themeColor="accent3"/>
          <w:left w:val="nil"/>
          <w:bottom w:val="single" w:sz="8" w:space="0" w:color="201547" w:themeColor="accent3"/>
          <w:right w:val="nil"/>
          <w:insideH w:val="nil"/>
          <w:insideV w:val="nil"/>
        </w:tcBorders>
      </w:tcPr>
    </w:tblStylePr>
    <w:tblStylePr w:type="lastRow">
      <w:pPr>
        <w:spacing w:before="0" w:after="0" w:line="240" w:lineRule="auto"/>
      </w:pPr>
      <w:rPr>
        <w:b/>
        <w:bCs/>
      </w:rPr>
      <w:tblPr/>
      <w:tcPr>
        <w:tcBorders>
          <w:top w:val="single" w:sz="8" w:space="0" w:color="201547" w:themeColor="accent3"/>
          <w:left w:val="nil"/>
          <w:bottom w:val="single" w:sz="8" w:space="0" w:color="20154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3" w:themeFillTint="3F"/>
      </w:tcPr>
    </w:tblStylePr>
    <w:tblStylePr w:type="band1Horz">
      <w:tblPr/>
      <w:tcPr>
        <w:tcBorders>
          <w:left w:val="nil"/>
          <w:right w:val="nil"/>
          <w:insideH w:val="nil"/>
          <w:insideV w:val="nil"/>
        </w:tcBorders>
        <w:shd w:val="clear" w:color="auto" w:fill="BBAFE7" w:themeFill="accent3" w:themeFillTint="3F"/>
      </w:tcPr>
    </w:tblStylePr>
  </w:style>
  <w:style w:type="table" w:styleId="LightShading-Accent4">
    <w:name w:val="Light Shading Accent 4"/>
    <w:basedOn w:val="TableNormal"/>
    <w:uiPriority w:val="60"/>
    <w:semiHidden/>
    <w:rsid w:val="0021343A"/>
    <w:pPr>
      <w:spacing w:line="240" w:lineRule="auto"/>
    </w:pPr>
    <w:rPr>
      <w:color w:val="50CAC4" w:themeColor="accent4" w:themeShade="BF"/>
    </w:rPr>
    <w:tblPr>
      <w:tblStyleRowBandSize w:val="1"/>
      <w:tblStyleColBandSize w:val="1"/>
      <w:tblBorders>
        <w:top w:val="single" w:sz="8" w:space="0" w:color="99E0DD" w:themeColor="accent4"/>
        <w:bottom w:val="single" w:sz="8" w:space="0" w:color="99E0DD" w:themeColor="accent4"/>
      </w:tblBorders>
    </w:tblPr>
    <w:tblStylePr w:type="firstRow">
      <w:pPr>
        <w:spacing w:before="0" w:after="0" w:line="240" w:lineRule="auto"/>
      </w:pPr>
      <w:rPr>
        <w:b/>
        <w:bCs/>
      </w:rPr>
      <w:tblPr/>
      <w:tcPr>
        <w:tcBorders>
          <w:top w:val="single" w:sz="8" w:space="0" w:color="99E0DD" w:themeColor="accent4"/>
          <w:left w:val="nil"/>
          <w:bottom w:val="single" w:sz="8" w:space="0" w:color="99E0DD" w:themeColor="accent4"/>
          <w:right w:val="nil"/>
          <w:insideH w:val="nil"/>
          <w:insideV w:val="nil"/>
        </w:tcBorders>
      </w:tcPr>
    </w:tblStylePr>
    <w:tblStylePr w:type="lastRow">
      <w:pPr>
        <w:spacing w:before="0" w:after="0" w:line="240" w:lineRule="auto"/>
      </w:pPr>
      <w:rPr>
        <w:b/>
        <w:bCs/>
      </w:rPr>
      <w:tblPr/>
      <w:tcPr>
        <w:tcBorders>
          <w:top w:val="single" w:sz="8" w:space="0" w:color="99E0DD" w:themeColor="accent4"/>
          <w:left w:val="nil"/>
          <w:bottom w:val="single" w:sz="8" w:space="0" w:color="99E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4" w:themeFillTint="3F"/>
      </w:tcPr>
    </w:tblStylePr>
    <w:tblStylePr w:type="band1Horz">
      <w:tblPr/>
      <w:tcPr>
        <w:tcBorders>
          <w:left w:val="nil"/>
          <w:right w:val="nil"/>
          <w:insideH w:val="nil"/>
          <w:insideV w:val="nil"/>
        </w:tcBorders>
        <w:shd w:val="clear" w:color="auto" w:fill="E5F7F6" w:themeFill="accent4" w:themeFillTint="3F"/>
      </w:tcPr>
    </w:tblStylePr>
  </w:style>
  <w:style w:type="table" w:styleId="LightShading-Accent5">
    <w:name w:val="Light Shading Accent 5"/>
    <w:basedOn w:val="TableNormal"/>
    <w:uiPriority w:val="60"/>
    <w:semiHidden/>
    <w:rsid w:val="0021343A"/>
    <w:pPr>
      <w:spacing w:line="240" w:lineRule="auto"/>
    </w:pPr>
    <w:rPr>
      <w:color w:val="479ADB" w:themeColor="accent5" w:themeShade="BF"/>
    </w:rPr>
    <w:tblPr>
      <w:tblStyleRowBandSize w:val="1"/>
      <w:tblStyleColBandSize w:val="1"/>
      <w:tblBorders>
        <w:top w:val="single" w:sz="8" w:space="0" w:color="99C7EB" w:themeColor="accent5"/>
        <w:bottom w:val="single" w:sz="8" w:space="0" w:color="99C7EB" w:themeColor="accent5"/>
      </w:tblBorders>
    </w:tblPr>
    <w:tblStylePr w:type="firstRow">
      <w:pPr>
        <w:spacing w:before="0" w:after="0" w:line="240" w:lineRule="auto"/>
      </w:pPr>
      <w:rPr>
        <w:b/>
        <w:bCs/>
      </w:rPr>
      <w:tblPr/>
      <w:tcPr>
        <w:tcBorders>
          <w:top w:val="single" w:sz="8" w:space="0" w:color="99C7EB" w:themeColor="accent5"/>
          <w:left w:val="nil"/>
          <w:bottom w:val="single" w:sz="8" w:space="0" w:color="99C7EB" w:themeColor="accent5"/>
          <w:right w:val="nil"/>
          <w:insideH w:val="nil"/>
          <w:insideV w:val="nil"/>
        </w:tcBorders>
      </w:tcPr>
    </w:tblStylePr>
    <w:tblStylePr w:type="lastRow">
      <w:pPr>
        <w:spacing w:before="0" w:after="0" w:line="240" w:lineRule="auto"/>
      </w:pPr>
      <w:rPr>
        <w:b/>
        <w:bCs/>
      </w:rPr>
      <w:tblPr/>
      <w:tcPr>
        <w:tcBorders>
          <w:top w:val="single" w:sz="8" w:space="0" w:color="99C7EB" w:themeColor="accent5"/>
          <w:left w:val="nil"/>
          <w:bottom w:val="single" w:sz="8" w:space="0" w:color="99C7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FA" w:themeFill="accent5" w:themeFillTint="3F"/>
      </w:tcPr>
    </w:tblStylePr>
    <w:tblStylePr w:type="band1Horz">
      <w:tblPr/>
      <w:tcPr>
        <w:tcBorders>
          <w:left w:val="nil"/>
          <w:right w:val="nil"/>
          <w:insideH w:val="nil"/>
          <w:insideV w:val="nil"/>
        </w:tcBorders>
        <w:shd w:val="clear" w:color="auto" w:fill="E5F1FA" w:themeFill="accent5" w:themeFillTint="3F"/>
      </w:tcPr>
    </w:tblStylePr>
  </w:style>
  <w:style w:type="table" w:styleId="LightShading-Accent6">
    <w:name w:val="Light Shading Accent 6"/>
    <w:basedOn w:val="TableNormal"/>
    <w:uiPriority w:val="60"/>
    <w:semiHidden/>
    <w:rsid w:val="0021343A"/>
    <w:pPr>
      <w:spacing w:line="240" w:lineRule="auto"/>
    </w:pPr>
    <w:rPr>
      <w:color w:val="78708F" w:themeColor="accent6" w:themeShade="BF"/>
    </w:rPr>
    <w:tblPr>
      <w:tblStyleRowBandSize w:val="1"/>
      <w:tblStyleColBandSize w:val="1"/>
      <w:tblBorders>
        <w:top w:val="single" w:sz="8" w:space="0" w:color="A6A1B5" w:themeColor="accent6"/>
        <w:bottom w:val="single" w:sz="8" w:space="0" w:color="A6A1B5" w:themeColor="accent6"/>
      </w:tblBorders>
    </w:tblPr>
    <w:tblStylePr w:type="firstRow">
      <w:pPr>
        <w:spacing w:before="0" w:after="0" w:line="240" w:lineRule="auto"/>
      </w:pPr>
      <w:rPr>
        <w:b/>
        <w:bCs/>
      </w:rPr>
      <w:tblPr/>
      <w:tcPr>
        <w:tcBorders>
          <w:top w:val="single" w:sz="8" w:space="0" w:color="A6A1B5" w:themeColor="accent6"/>
          <w:left w:val="nil"/>
          <w:bottom w:val="single" w:sz="8" w:space="0" w:color="A6A1B5" w:themeColor="accent6"/>
          <w:right w:val="nil"/>
          <w:insideH w:val="nil"/>
          <w:insideV w:val="nil"/>
        </w:tcBorders>
      </w:tcPr>
    </w:tblStylePr>
    <w:tblStylePr w:type="lastRow">
      <w:pPr>
        <w:spacing w:before="0" w:after="0" w:line="240" w:lineRule="auto"/>
      </w:pPr>
      <w:rPr>
        <w:b/>
        <w:bCs/>
      </w:rPr>
      <w:tblPr/>
      <w:tcPr>
        <w:tcBorders>
          <w:top w:val="single" w:sz="8" w:space="0" w:color="A6A1B5" w:themeColor="accent6"/>
          <w:left w:val="nil"/>
          <w:bottom w:val="single" w:sz="8" w:space="0" w:color="A6A1B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7EC" w:themeFill="accent6" w:themeFillTint="3F"/>
      </w:tcPr>
    </w:tblStylePr>
    <w:tblStylePr w:type="band1Horz">
      <w:tblPr/>
      <w:tcPr>
        <w:tcBorders>
          <w:left w:val="nil"/>
          <w:right w:val="nil"/>
          <w:insideH w:val="nil"/>
          <w:insideV w:val="nil"/>
        </w:tcBorders>
        <w:shd w:val="clear" w:color="auto" w:fill="E8E7EC" w:themeFill="accent6" w:themeFillTint="3F"/>
      </w:tcPr>
    </w:tblStylePr>
  </w:style>
  <w:style w:type="table" w:styleId="ListTable1Light">
    <w:name w:val="List Table 1 Light"/>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37FFF4" w:themeColor="accent1" w:themeTint="99"/>
        </w:tcBorders>
      </w:tcPr>
    </w:tblStylePr>
    <w:tblStylePr w:type="lastRow">
      <w:rPr>
        <w:b/>
        <w:bCs/>
      </w:rPr>
      <w:tblPr/>
      <w:tcPr>
        <w:tcBorders>
          <w:top w:val="single" w:sz="4" w:space="0" w:color="37FFF4" w:themeColor="accent1" w:themeTint="99"/>
        </w:tcBorders>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ListTable1Light-Accent2">
    <w:name w:val="List Table 1 Light Accent 2"/>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48ADFF" w:themeColor="accent2" w:themeTint="99"/>
        </w:tcBorders>
      </w:tcPr>
    </w:tblStylePr>
    <w:tblStylePr w:type="lastRow">
      <w:rPr>
        <w:b/>
        <w:bCs/>
      </w:rPr>
      <w:tblPr/>
      <w:tcPr>
        <w:tcBorders>
          <w:top w:val="single" w:sz="4" w:space="0" w:color="48ADFF" w:themeColor="accent2" w:themeTint="99"/>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ListTable1Light-Accent3">
    <w:name w:val="List Table 1 Light Accent 3"/>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5B3DC5" w:themeColor="accent3" w:themeTint="99"/>
        </w:tcBorders>
      </w:tcPr>
    </w:tblStylePr>
    <w:tblStylePr w:type="lastRow">
      <w:rPr>
        <w:b/>
        <w:bCs/>
      </w:rPr>
      <w:tblPr/>
      <w:tcPr>
        <w:tcBorders>
          <w:top w:val="single" w:sz="4" w:space="0" w:color="5B3DC5" w:themeColor="accent3" w:themeTint="99"/>
        </w:tcBorders>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ListTable1Light-Accent4">
    <w:name w:val="List Table 1 Light Accent 4"/>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C1ECEA" w:themeColor="accent4" w:themeTint="99"/>
        </w:tcBorders>
      </w:tcPr>
    </w:tblStylePr>
    <w:tblStylePr w:type="lastRow">
      <w:rPr>
        <w:b/>
        <w:bCs/>
      </w:rPr>
      <w:tblPr/>
      <w:tcPr>
        <w:tcBorders>
          <w:top w:val="single" w:sz="4" w:space="0" w:color="C1ECEA" w:themeColor="accent4" w:themeTint="99"/>
        </w:tcBorders>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ListTable1Light-Accent5">
    <w:name w:val="List Table 1 Light Accent 5"/>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C1DDF3" w:themeColor="accent5" w:themeTint="99"/>
        </w:tcBorders>
      </w:tcPr>
    </w:tblStylePr>
    <w:tblStylePr w:type="lastRow">
      <w:rPr>
        <w:b/>
        <w:bCs/>
      </w:rPr>
      <w:tblPr/>
      <w:tcPr>
        <w:tcBorders>
          <w:top w:val="single" w:sz="4" w:space="0" w:color="C1DDF3" w:themeColor="accent5" w:themeTint="99"/>
        </w:tcBorders>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ListTable1Light-Accent6">
    <w:name w:val="List Table 1 Light Accent 6"/>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C9C6D2" w:themeColor="accent6" w:themeTint="99"/>
        </w:tcBorders>
      </w:tcPr>
    </w:tblStylePr>
    <w:tblStylePr w:type="lastRow">
      <w:rPr>
        <w:b/>
        <w:bCs/>
      </w:rPr>
      <w:tblPr/>
      <w:tcPr>
        <w:tcBorders>
          <w:top w:val="single" w:sz="4" w:space="0" w:color="C9C6D2" w:themeColor="accent6" w:themeTint="99"/>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ListTable2">
    <w:name w:val="List Table 2"/>
    <w:basedOn w:val="TableNormal"/>
    <w:uiPriority w:val="47"/>
    <w:semiHidden/>
    <w:rsid w:val="0021343A"/>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1343A"/>
    <w:pPr>
      <w:spacing w:line="240" w:lineRule="auto"/>
    </w:pPr>
    <w:tblPr>
      <w:tblStyleRowBandSize w:val="1"/>
      <w:tblStyleColBandSize w:val="1"/>
      <w:tblBorders>
        <w:top w:val="single" w:sz="4" w:space="0" w:color="37FFF4" w:themeColor="accent1" w:themeTint="99"/>
        <w:bottom w:val="single" w:sz="4" w:space="0" w:color="37FFF4" w:themeColor="accent1" w:themeTint="99"/>
        <w:insideH w:val="single" w:sz="4" w:space="0" w:color="37FF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ListTable2-Accent2">
    <w:name w:val="List Table 2 Accent 2"/>
    <w:basedOn w:val="TableNormal"/>
    <w:uiPriority w:val="47"/>
    <w:semiHidden/>
    <w:rsid w:val="0021343A"/>
    <w:pPr>
      <w:spacing w:line="240" w:lineRule="auto"/>
    </w:pPr>
    <w:tblPr>
      <w:tblStyleRowBandSize w:val="1"/>
      <w:tblStyleColBandSize w:val="1"/>
      <w:tblBorders>
        <w:top w:val="single" w:sz="4" w:space="0" w:color="48ADFF" w:themeColor="accent2" w:themeTint="99"/>
        <w:bottom w:val="single" w:sz="4" w:space="0" w:color="48ADFF" w:themeColor="accent2" w:themeTint="99"/>
        <w:insideH w:val="single" w:sz="4" w:space="0" w:color="48A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ListTable2-Accent3">
    <w:name w:val="List Table 2 Accent 3"/>
    <w:basedOn w:val="TableNormal"/>
    <w:uiPriority w:val="47"/>
    <w:semiHidden/>
    <w:rsid w:val="0021343A"/>
    <w:pPr>
      <w:spacing w:line="240" w:lineRule="auto"/>
    </w:pPr>
    <w:tblPr>
      <w:tblStyleRowBandSize w:val="1"/>
      <w:tblStyleColBandSize w:val="1"/>
      <w:tblBorders>
        <w:top w:val="single" w:sz="4" w:space="0" w:color="5B3DC5" w:themeColor="accent3" w:themeTint="99"/>
        <w:bottom w:val="single" w:sz="4" w:space="0" w:color="5B3DC5" w:themeColor="accent3" w:themeTint="99"/>
        <w:insideH w:val="single" w:sz="4" w:space="0" w:color="5B3DC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ListTable2-Accent4">
    <w:name w:val="List Table 2 Accent 4"/>
    <w:basedOn w:val="TableNormal"/>
    <w:uiPriority w:val="47"/>
    <w:semiHidden/>
    <w:rsid w:val="0021343A"/>
    <w:pPr>
      <w:spacing w:line="240" w:lineRule="auto"/>
    </w:pPr>
    <w:tblPr>
      <w:tblStyleRowBandSize w:val="1"/>
      <w:tblStyleColBandSize w:val="1"/>
      <w:tblBorders>
        <w:top w:val="single" w:sz="4" w:space="0" w:color="C1ECEA" w:themeColor="accent4" w:themeTint="99"/>
        <w:bottom w:val="single" w:sz="4" w:space="0" w:color="C1ECEA" w:themeColor="accent4" w:themeTint="99"/>
        <w:insideH w:val="single" w:sz="4" w:space="0" w:color="C1EC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ListTable2-Accent5">
    <w:name w:val="List Table 2 Accent 5"/>
    <w:basedOn w:val="TableNormal"/>
    <w:uiPriority w:val="47"/>
    <w:semiHidden/>
    <w:rsid w:val="0021343A"/>
    <w:pPr>
      <w:spacing w:line="240" w:lineRule="auto"/>
    </w:pPr>
    <w:tblPr>
      <w:tblStyleRowBandSize w:val="1"/>
      <w:tblStyleColBandSize w:val="1"/>
      <w:tblBorders>
        <w:top w:val="single" w:sz="4" w:space="0" w:color="C1DDF3" w:themeColor="accent5" w:themeTint="99"/>
        <w:bottom w:val="single" w:sz="4" w:space="0" w:color="C1DDF3" w:themeColor="accent5" w:themeTint="99"/>
        <w:insideH w:val="single" w:sz="4" w:space="0" w:color="C1DD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ListTable2-Accent6">
    <w:name w:val="List Table 2 Accent 6"/>
    <w:basedOn w:val="TableNormal"/>
    <w:uiPriority w:val="47"/>
    <w:semiHidden/>
    <w:rsid w:val="0021343A"/>
    <w:pPr>
      <w:spacing w:line="240" w:lineRule="auto"/>
    </w:pPr>
    <w:tblPr>
      <w:tblStyleRowBandSize w:val="1"/>
      <w:tblStyleColBandSize w:val="1"/>
      <w:tblBorders>
        <w:top w:val="single" w:sz="4" w:space="0" w:color="C9C6D2" w:themeColor="accent6" w:themeTint="99"/>
        <w:bottom w:val="single" w:sz="4" w:space="0" w:color="C9C6D2" w:themeColor="accent6" w:themeTint="99"/>
        <w:insideH w:val="single" w:sz="4" w:space="0" w:color="C9C6D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ListTable3">
    <w:name w:val="List Table 3"/>
    <w:basedOn w:val="TableNormal"/>
    <w:uiPriority w:val="48"/>
    <w:semiHidden/>
    <w:rsid w:val="0021343A"/>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rsid w:val="0021343A"/>
    <w:pPr>
      <w:spacing w:line="240" w:lineRule="auto"/>
    </w:pPr>
    <w:tblPr>
      <w:tblStyleRowBandSize w:val="1"/>
      <w:tblStyleColBandSize w:val="1"/>
      <w:tblBorders>
        <w:top w:val="single" w:sz="4" w:space="0" w:color="00B2A9" w:themeColor="accent1"/>
        <w:left w:val="single" w:sz="4" w:space="0" w:color="00B2A9" w:themeColor="accent1"/>
        <w:bottom w:val="single" w:sz="4" w:space="0" w:color="00B2A9" w:themeColor="accent1"/>
        <w:right w:val="single" w:sz="4" w:space="0" w:color="00B2A9" w:themeColor="accent1"/>
      </w:tblBorders>
    </w:tblPr>
    <w:tblStylePr w:type="firstRow">
      <w:rPr>
        <w:b/>
        <w:bCs/>
        <w:color w:val="FFFFFF" w:themeColor="background1"/>
      </w:rPr>
      <w:tblPr/>
      <w:tcPr>
        <w:shd w:val="clear" w:color="auto" w:fill="00B2A9" w:themeFill="accent1"/>
      </w:tcPr>
    </w:tblStylePr>
    <w:tblStylePr w:type="lastRow">
      <w:rPr>
        <w:b/>
        <w:bCs/>
      </w:rPr>
      <w:tblPr/>
      <w:tcPr>
        <w:tcBorders>
          <w:top w:val="double" w:sz="4" w:space="0" w:color="00B2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1"/>
          <w:right w:val="single" w:sz="4" w:space="0" w:color="00B2A9" w:themeColor="accent1"/>
        </w:tcBorders>
      </w:tcPr>
    </w:tblStylePr>
    <w:tblStylePr w:type="band1Horz">
      <w:tblPr/>
      <w:tcPr>
        <w:tcBorders>
          <w:top w:val="single" w:sz="4" w:space="0" w:color="00B2A9" w:themeColor="accent1"/>
          <w:bottom w:val="single" w:sz="4" w:space="0" w:color="00B2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1"/>
          <w:left w:val="nil"/>
        </w:tcBorders>
      </w:tcPr>
    </w:tblStylePr>
    <w:tblStylePr w:type="swCell">
      <w:tblPr/>
      <w:tcPr>
        <w:tcBorders>
          <w:top w:val="double" w:sz="4" w:space="0" w:color="00B2A9" w:themeColor="accent1"/>
          <w:right w:val="nil"/>
        </w:tcBorders>
      </w:tcPr>
    </w:tblStylePr>
  </w:style>
  <w:style w:type="table" w:styleId="ListTable3-Accent2">
    <w:name w:val="List Table 3 Accent 2"/>
    <w:basedOn w:val="TableNormal"/>
    <w:uiPriority w:val="48"/>
    <w:semiHidden/>
    <w:rsid w:val="0021343A"/>
    <w:pPr>
      <w:spacing w:line="240" w:lineRule="auto"/>
    </w:pPr>
    <w:tblPr>
      <w:tblStyleRowBandSize w:val="1"/>
      <w:tblStyleColBandSize w:val="1"/>
      <w:tblBorders>
        <w:top w:val="single" w:sz="4" w:space="0" w:color="0072CE" w:themeColor="accent2"/>
        <w:left w:val="single" w:sz="4" w:space="0" w:color="0072CE" w:themeColor="accent2"/>
        <w:bottom w:val="single" w:sz="4" w:space="0" w:color="0072CE" w:themeColor="accent2"/>
        <w:right w:val="single" w:sz="4" w:space="0" w:color="0072CE" w:themeColor="accent2"/>
      </w:tblBorders>
    </w:tblPr>
    <w:tblStylePr w:type="firstRow">
      <w:rPr>
        <w:b/>
        <w:bCs/>
        <w:color w:val="FFFFFF" w:themeColor="background1"/>
      </w:rPr>
      <w:tblPr/>
      <w:tcPr>
        <w:shd w:val="clear" w:color="auto" w:fill="0072CE" w:themeFill="accent2"/>
      </w:tcPr>
    </w:tblStylePr>
    <w:tblStylePr w:type="lastRow">
      <w:rPr>
        <w:b/>
        <w:bCs/>
      </w:rPr>
      <w:tblPr/>
      <w:tcPr>
        <w:tcBorders>
          <w:top w:val="double" w:sz="4" w:space="0" w:color="0072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E" w:themeColor="accent2"/>
          <w:right w:val="single" w:sz="4" w:space="0" w:color="0072CE" w:themeColor="accent2"/>
        </w:tcBorders>
      </w:tcPr>
    </w:tblStylePr>
    <w:tblStylePr w:type="band1Horz">
      <w:tblPr/>
      <w:tcPr>
        <w:tcBorders>
          <w:top w:val="single" w:sz="4" w:space="0" w:color="0072CE" w:themeColor="accent2"/>
          <w:bottom w:val="single" w:sz="4" w:space="0" w:color="0072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E" w:themeColor="accent2"/>
          <w:left w:val="nil"/>
        </w:tcBorders>
      </w:tcPr>
    </w:tblStylePr>
    <w:tblStylePr w:type="swCell">
      <w:tblPr/>
      <w:tcPr>
        <w:tcBorders>
          <w:top w:val="double" w:sz="4" w:space="0" w:color="0072CE" w:themeColor="accent2"/>
          <w:right w:val="nil"/>
        </w:tcBorders>
      </w:tcPr>
    </w:tblStylePr>
  </w:style>
  <w:style w:type="table" w:styleId="ListTable3-Accent3">
    <w:name w:val="List Table 3 Accent 3"/>
    <w:basedOn w:val="TableNormal"/>
    <w:uiPriority w:val="48"/>
    <w:semiHidden/>
    <w:rsid w:val="0021343A"/>
    <w:pPr>
      <w:spacing w:line="240" w:lineRule="auto"/>
    </w:pPr>
    <w:tblPr>
      <w:tblStyleRowBandSize w:val="1"/>
      <w:tblStyleColBandSize w:val="1"/>
      <w:tblBorders>
        <w:top w:val="single" w:sz="4" w:space="0" w:color="201547" w:themeColor="accent3"/>
        <w:left w:val="single" w:sz="4" w:space="0" w:color="201547" w:themeColor="accent3"/>
        <w:bottom w:val="single" w:sz="4" w:space="0" w:color="201547" w:themeColor="accent3"/>
        <w:right w:val="single" w:sz="4" w:space="0" w:color="201547" w:themeColor="accent3"/>
      </w:tblBorders>
    </w:tblPr>
    <w:tblStylePr w:type="firstRow">
      <w:rPr>
        <w:b/>
        <w:bCs/>
        <w:color w:val="FFFFFF" w:themeColor="background1"/>
      </w:rPr>
      <w:tblPr/>
      <w:tcPr>
        <w:shd w:val="clear" w:color="auto" w:fill="201547" w:themeFill="accent3"/>
      </w:tcPr>
    </w:tblStylePr>
    <w:tblStylePr w:type="lastRow">
      <w:rPr>
        <w:b/>
        <w:bCs/>
      </w:rPr>
      <w:tblPr/>
      <w:tcPr>
        <w:tcBorders>
          <w:top w:val="double" w:sz="4" w:space="0" w:color="2015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3"/>
          <w:right w:val="single" w:sz="4" w:space="0" w:color="201547" w:themeColor="accent3"/>
        </w:tcBorders>
      </w:tcPr>
    </w:tblStylePr>
    <w:tblStylePr w:type="band1Horz">
      <w:tblPr/>
      <w:tcPr>
        <w:tcBorders>
          <w:top w:val="single" w:sz="4" w:space="0" w:color="201547" w:themeColor="accent3"/>
          <w:bottom w:val="single" w:sz="4" w:space="0" w:color="2015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3"/>
          <w:left w:val="nil"/>
        </w:tcBorders>
      </w:tcPr>
    </w:tblStylePr>
    <w:tblStylePr w:type="swCell">
      <w:tblPr/>
      <w:tcPr>
        <w:tcBorders>
          <w:top w:val="double" w:sz="4" w:space="0" w:color="201547" w:themeColor="accent3"/>
          <w:right w:val="nil"/>
        </w:tcBorders>
      </w:tcPr>
    </w:tblStylePr>
  </w:style>
  <w:style w:type="table" w:styleId="ListTable3-Accent4">
    <w:name w:val="List Table 3 Accent 4"/>
    <w:basedOn w:val="TableNormal"/>
    <w:uiPriority w:val="48"/>
    <w:semiHidden/>
    <w:rsid w:val="0021343A"/>
    <w:pPr>
      <w:spacing w:line="240" w:lineRule="auto"/>
    </w:pPr>
    <w:tblPr>
      <w:tblStyleRowBandSize w:val="1"/>
      <w:tblStyleColBandSize w:val="1"/>
      <w:tblBorders>
        <w:top w:val="single" w:sz="4" w:space="0" w:color="99E0DD" w:themeColor="accent4"/>
        <w:left w:val="single" w:sz="4" w:space="0" w:color="99E0DD" w:themeColor="accent4"/>
        <w:bottom w:val="single" w:sz="4" w:space="0" w:color="99E0DD" w:themeColor="accent4"/>
        <w:right w:val="single" w:sz="4" w:space="0" w:color="99E0DD" w:themeColor="accent4"/>
      </w:tblBorders>
    </w:tblPr>
    <w:tblStylePr w:type="firstRow">
      <w:rPr>
        <w:b/>
        <w:bCs/>
        <w:color w:val="FFFFFF" w:themeColor="background1"/>
      </w:rPr>
      <w:tblPr/>
      <w:tcPr>
        <w:shd w:val="clear" w:color="auto" w:fill="99E0DD" w:themeFill="accent4"/>
      </w:tcPr>
    </w:tblStylePr>
    <w:tblStylePr w:type="lastRow">
      <w:rPr>
        <w:b/>
        <w:bCs/>
      </w:rPr>
      <w:tblPr/>
      <w:tcPr>
        <w:tcBorders>
          <w:top w:val="double" w:sz="4" w:space="0" w:color="99E0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4"/>
          <w:right w:val="single" w:sz="4" w:space="0" w:color="99E0DD" w:themeColor="accent4"/>
        </w:tcBorders>
      </w:tcPr>
    </w:tblStylePr>
    <w:tblStylePr w:type="band1Horz">
      <w:tblPr/>
      <w:tcPr>
        <w:tcBorders>
          <w:top w:val="single" w:sz="4" w:space="0" w:color="99E0DD" w:themeColor="accent4"/>
          <w:bottom w:val="single" w:sz="4" w:space="0" w:color="99E0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4"/>
          <w:left w:val="nil"/>
        </w:tcBorders>
      </w:tcPr>
    </w:tblStylePr>
    <w:tblStylePr w:type="swCell">
      <w:tblPr/>
      <w:tcPr>
        <w:tcBorders>
          <w:top w:val="double" w:sz="4" w:space="0" w:color="99E0DD" w:themeColor="accent4"/>
          <w:right w:val="nil"/>
        </w:tcBorders>
      </w:tcPr>
    </w:tblStylePr>
  </w:style>
  <w:style w:type="table" w:styleId="ListTable3-Accent5">
    <w:name w:val="List Table 3 Accent 5"/>
    <w:basedOn w:val="TableNormal"/>
    <w:uiPriority w:val="48"/>
    <w:rsid w:val="0021343A"/>
    <w:pPr>
      <w:spacing w:line="240" w:lineRule="auto"/>
    </w:pPr>
    <w:tblPr>
      <w:tblStyleRowBandSize w:val="1"/>
      <w:tblStyleColBandSize w:val="1"/>
      <w:tblBorders>
        <w:top w:val="single" w:sz="4" w:space="0" w:color="99C7EB" w:themeColor="accent5"/>
        <w:left w:val="single" w:sz="4" w:space="0" w:color="99C7EB" w:themeColor="accent5"/>
        <w:bottom w:val="single" w:sz="4" w:space="0" w:color="99C7EB" w:themeColor="accent5"/>
        <w:right w:val="single" w:sz="4" w:space="0" w:color="99C7EB" w:themeColor="accent5"/>
      </w:tblBorders>
    </w:tblPr>
    <w:tblStylePr w:type="firstRow">
      <w:rPr>
        <w:b/>
        <w:bCs/>
        <w:color w:val="FFFFFF" w:themeColor="background1"/>
      </w:rPr>
      <w:tblPr/>
      <w:tcPr>
        <w:shd w:val="clear" w:color="auto" w:fill="99C7EB" w:themeFill="accent5"/>
      </w:tcPr>
    </w:tblStylePr>
    <w:tblStylePr w:type="lastRow">
      <w:rPr>
        <w:b/>
        <w:bCs/>
      </w:rPr>
      <w:tblPr/>
      <w:tcPr>
        <w:tcBorders>
          <w:top w:val="double" w:sz="4" w:space="0" w:color="99C7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7EB" w:themeColor="accent5"/>
          <w:right w:val="single" w:sz="4" w:space="0" w:color="99C7EB" w:themeColor="accent5"/>
        </w:tcBorders>
      </w:tcPr>
    </w:tblStylePr>
    <w:tblStylePr w:type="band1Horz">
      <w:tblPr/>
      <w:tcPr>
        <w:tcBorders>
          <w:top w:val="single" w:sz="4" w:space="0" w:color="99C7EB" w:themeColor="accent5"/>
          <w:bottom w:val="single" w:sz="4" w:space="0" w:color="99C7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7EB" w:themeColor="accent5"/>
          <w:left w:val="nil"/>
        </w:tcBorders>
      </w:tcPr>
    </w:tblStylePr>
    <w:tblStylePr w:type="swCell">
      <w:tblPr/>
      <w:tcPr>
        <w:tcBorders>
          <w:top w:val="double" w:sz="4" w:space="0" w:color="99C7EB" w:themeColor="accent5"/>
          <w:right w:val="nil"/>
        </w:tcBorders>
      </w:tcPr>
    </w:tblStylePr>
  </w:style>
  <w:style w:type="table" w:styleId="ListTable3-Accent6">
    <w:name w:val="List Table 3 Accent 6"/>
    <w:basedOn w:val="TableNormal"/>
    <w:uiPriority w:val="48"/>
    <w:rsid w:val="0021343A"/>
    <w:pPr>
      <w:spacing w:line="240" w:lineRule="auto"/>
    </w:pPr>
    <w:tblPr>
      <w:tblStyleRowBandSize w:val="1"/>
      <w:tblStyleColBandSize w:val="1"/>
      <w:tblBorders>
        <w:top w:val="single" w:sz="4" w:space="0" w:color="A6A1B5" w:themeColor="accent6"/>
        <w:left w:val="single" w:sz="4" w:space="0" w:color="A6A1B5" w:themeColor="accent6"/>
        <w:bottom w:val="single" w:sz="4" w:space="0" w:color="A6A1B5" w:themeColor="accent6"/>
        <w:right w:val="single" w:sz="4" w:space="0" w:color="A6A1B5" w:themeColor="accent6"/>
      </w:tblBorders>
    </w:tblPr>
    <w:tblStylePr w:type="firstRow">
      <w:rPr>
        <w:b/>
        <w:bCs/>
        <w:color w:val="FFFFFF" w:themeColor="background1"/>
      </w:rPr>
      <w:tblPr/>
      <w:tcPr>
        <w:shd w:val="clear" w:color="auto" w:fill="A6A1B5" w:themeFill="accent6"/>
      </w:tcPr>
    </w:tblStylePr>
    <w:tblStylePr w:type="lastRow">
      <w:rPr>
        <w:b/>
        <w:bCs/>
      </w:rPr>
      <w:tblPr/>
      <w:tcPr>
        <w:tcBorders>
          <w:top w:val="double" w:sz="4" w:space="0" w:color="A6A1B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1B5" w:themeColor="accent6"/>
          <w:right w:val="single" w:sz="4" w:space="0" w:color="A6A1B5" w:themeColor="accent6"/>
        </w:tcBorders>
      </w:tcPr>
    </w:tblStylePr>
    <w:tblStylePr w:type="band1Horz">
      <w:tblPr/>
      <w:tcPr>
        <w:tcBorders>
          <w:top w:val="single" w:sz="4" w:space="0" w:color="A6A1B5" w:themeColor="accent6"/>
          <w:bottom w:val="single" w:sz="4" w:space="0" w:color="A6A1B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1B5" w:themeColor="accent6"/>
          <w:left w:val="nil"/>
        </w:tcBorders>
      </w:tcPr>
    </w:tblStylePr>
    <w:tblStylePr w:type="swCell">
      <w:tblPr/>
      <w:tcPr>
        <w:tcBorders>
          <w:top w:val="double" w:sz="4" w:space="0" w:color="A6A1B5" w:themeColor="accent6"/>
          <w:right w:val="nil"/>
        </w:tcBorders>
      </w:tcPr>
    </w:tblStylePr>
  </w:style>
  <w:style w:type="table" w:styleId="ListTable4">
    <w:name w:val="List Table 4"/>
    <w:basedOn w:val="TableNormal"/>
    <w:uiPriority w:val="49"/>
    <w:semiHidden/>
    <w:rsid w:val="0021343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rsid w:val="0021343A"/>
    <w:pPr>
      <w:spacing w:line="240" w:lineRule="auto"/>
    </w:pPr>
    <w:tblPr>
      <w:tblStyleRowBandSize w:val="1"/>
      <w:tblStyleColBandSize w:val="1"/>
      <w:tblBorders>
        <w:top w:val="single" w:sz="4" w:space="0" w:color="37FFF4" w:themeColor="accent1" w:themeTint="99"/>
        <w:left w:val="single" w:sz="4" w:space="0" w:color="37FFF4" w:themeColor="accent1" w:themeTint="99"/>
        <w:bottom w:val="single" w:sz="4" w:space="0" w:color="37FFF4" w:themeColor="accent1" w:themeTint="99"/>
        <w:right w:val="single" w:sz="4" w:space="0" w:color="37FFF4" w:themeColor="accent1" w:themeTint="99"/>
        <w:insideH w:val="single" w:sz="4" w:space="0" w:color="37FFF4" w:themeColor="accent1" w:themeTint="99"/>
      </w:tblBorders>
    </w:tblPr>
    <w:tblStylePr w:type="firstRow">
      <w:rPr>
        <w:b/>
        <w:bCs/>
        <w:color w:val="FFFFFF" w:themeColor="background1"/>
      </w:rPr>
      <w:tblPr/>
      <w:tcPr>
        <w:tcBorders>
          <w:top w:val="single" w:sz="4" w:space="0" w:color="00B2A9" w:themeColor="accent1"/>
          <w:left w:val="single" w:sz="4" w:space="0" w:color="00B2A9" w:themeColor="accent1"/>
          <w:bottom w:val="single" w:sz="4" w:space="0" w:color="00B2A9" w:themeColor="accent1"/>
          <w:right w:val="single" w:sz="4" w:space="0" w:color="00B2A9" w:themeColor="accent1"/>
          <w:insideH w:val="nil"/>
        </w:tcBorders>
        <w:shd w:val="clear" w:color="auto" w:fill="00B2A9" w:themeFill="accent1"/>
      </w:tcPr>
    </w:tblStylePr>
    <w:tblStylePr w:type="lastRow">
      <w:rPr>
        <w:b/>
        <w:bCs/>
      </w:rPr>
      <w:tblPr/>
      <w:tcPr>
        <w:tcBorders>
          <w:top w:val="double" w:sz="4" w:space="0" w:color="37FFF4" w:themeColor="accent1" w:themeTint="99"/>
        </w:tcBorders>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ListTable4-Accent2">
    <w:name w:val="List Table 4 Accent 2"/>
    <w:basedOn w:val="TableNormal"/>
    <w:uiPriority w:val="49"/>
    <w:semiHidden/>
    <w:rsid w:val="0021343A"/>
    <w:pPr>
      <w:spacing w:line="240" w:lineRule="auto"/>
    </w:p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tblBorders>
    </w:tblPr>
    <w:tblStylePr w:type="firstRow">
      <w:rPr>
        <w:b/>
        <w:bCs/>
        <w:color w:val="FFFFFF" w:themeColor="background1"/>
      </w:rPr>
      <w:tblPr/>
      <w:tcPr>
        <w:tcBorders>
          <w:top w:val="single" w:sz="4" w:space="0" w:color="0072CE" w:themeColor="accent2"/>
          <w:left w:val="single" w:sz="4" w:space="0" w:color="0072CE" w:themeColor="accent2"/>
          <w:bottom w:val="single" w:sz="4" w:space="0" w:color="0072CE" w:themeColor="accent2"/>
          <w:right w:val="single" w:sz="4" w:space="0" w:color="0072CE" w:themeColor="accent2"/>
          <w:insideH w:val="nil"/>
        </w:tcBorders>
        <w:shd w:val="clear" w:color="auto" w:fill="0072CE" w:themeFill="accent2"/>
      </w:tcPr>
    </w:tblStylePr>
    <w:tblStylePr w:type="lastRow">
      <w:rPr>
        <w:b/>
        <w:bCs/>
      </w:rPr>
      <w:tblPr/>
      <w:tcPr>
        <w:tcBorders>
          <w:top w:val="double" w:sz="4" w:space="0" w:color="48ADFF" w:themeColor="accent2" w:themeTint="99"/>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ListTable4-Accent3">
    <w:name w:val="List Table 4 Accent 3"/>
    <w:basedOn w:val="TableNormal"/>
    <w:uiPriority w:val="49"/>
    <w:semiHidden/>
    <w:rsid w:val="0021343A"/>
    <w:pPr>
      <w:spacing w:line="240" w:lineRule="auto"/>
    </w:pPr>
    <w:tblPr>
      <w:tblStyleRowBandSize w:val="1"/>
      <w:tblStyleColBandSize w:val="1"/>
      <w:tblBorders>
        <w:top w:val="single" w:sz="4" w:space="0" w:color="5B3DC5" w:themeColor="accent3" w:themeTint="99"/>
        <w:left w:val="single" w:sz="4" w:space="0" w:color="5B3DC5" w:themeColor="accent3" w:themeTint="99"/>
        <w:bottom w:val="single" w:sz="4" w:space="0" w:color="5B3DC5" w:themeColor="accent3" w:themeTint="99"/>
        <w:right w:val="single" w:sz="4" w:space="0" w:color="5B3DC5" w:themeColor="accent3" w:themeTint="99"/>
        <w:insideH w:val="single" w:sz="4" w:space="0" w:color="5B3DC5" w:themeColor="accent3" w:themeTint="99"/>
      </w:tblBorders>
    </w:tblPr>
    <w:tblStylePr w:type="firstRow">
      <w:rPr>
        <w:b/>
        <w:bCs/>
        <w:color w:val="FFFFFF" w:themeColor="background1"/>
      </w:rPr>
      <w:tblPr/>
      <w:tcPr>
        <w:tcBorders>
          <w:top w:val="single" w:sz="4" w:space="0" w:color="201547" w:themeColor="accent3"/>
          <w:left w:val="single" w:sz="4" w:space="0" w:color="201547" w:themeColor="accent3"/>
          <w:bottom w:val="single" w:sz="4" w:space="0" w:color="201547" w:themeColor="accent3"/>
          <w:right w:val="single" w:sz="4" w:space="0" w:color="201547" w:themeColor="accent3"/>
          <w:insideH w:val="nil"/>
        </w:tcBorders>
        <w:shd w:val="clear" w:color="auto" w:fill="201547" w:themeFill="accent3"/>
      </w:tcPr>
    </w:tblStylePr>
    <w:tblStylePr w:type="lastRow">
      <w:rPr>
        <w:b/>
        <w:bCs/>
      </w:rPr>
      <w:tblPr/>
      <w:tcPr>
        <w:tcBorders>
          <w:top w:val="double" w:sz="4" w:space="0" w:color="5B3DC5" w:themeColor="accent3" w:themeTint="99"/>
        </w:tcBorders>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ListTable4-Accent4">
    <w:name w:val="List Table 4 Accent 4"/>
    <w:basedOn w:val="TableNormal"/>
    <w:uiPriority w:val="49"/>
    <w:semiHidden/>
    <w:rsid w:val="0021343A"/>
    <w:pPr>
      <w:spacing w:line="240" w:lineRule="auto"/>
    </w:pPr>
    <w:tblPr>
      <w:tblStyleRowBandSize w:val="1"/>
      <w:tblStyleColBandSize w:val="1"/>
      <w:tblBorders>
        <w:top w:val="single" w:sz="4" w:space="0" w:color="C1ECEA" w:themeColor="accent4" w:themeTint="99"/>
        <w:left w:val="single" w:sz="4" w:space="0" w:color="C1ECEA" w:themeColor="accent4" w:themeTint="99"/>
        <w:bottom w:val="single" w:sz="4" w:space="0" w:color="C1ECEA" w:themeColor="accent4" w:themeTint="99"/>
        <w:right w:val="single" w:sz="4" w:space="0" w:color="C1ECEA" w:themeColor="accent4" w:themeTint="99"/>
        <w:insideH w:val="single" w:sz="4" w:space="0" w:color="C1ECEA" w:themeColor="accent4" w:themeTint="99"/>
      </w:tblBorders>
    </w:tblPr>
    <w:tblStylePr w:type="firstRow">
      <w:rPr>
        <w:b/>
        <w:bCs/>
        <w:color w:val="FFFFFF" w:themeColor="background1"/>
      </w:rPr>
      <w:tblPr/>
      <w:tcPr>
        <w:tcBorders>
          <w:top w:val="single" w:sz="4" w:space="0" w:color="99E0DD" w:themeColor="accent4"/>
          <w:left w:val="single" w:sz="4" w:space="0" w:color="99E0DD" w:themeColor="accent4"/>
          <w:bottom w:val="single" w:sz="4" w:space="0" w:color="99E0DD" w:themeColor="accent4"/>
          <w:right w:val="single" w:sz="4" w:space="0" w:color="99E0DD" w:themeColor="accent4"/>
          <w:insideH w:val="nil"/>
        </w:tcBorders>
        <w:shd w:val="clear" w:color="auto" w:fill="99E0DD" w:themeFill="accent4"/>
      </w:tcPr>
    </w:tblStylePr>
    <w:tblStylePr w:type="lastRow">
      <w:rPr>
        <w:b/>
        <w:bCs/>
      </w:rPr>
      <w:tblPr/>
      <w:tcPr>
        <w:tcBorders>
          <w:top w:val="double" w:sz="4" w:space="0" w:color="C1ECEA" w:themeColor="accent4" w:themeTint="99"/>
        </w:tcBorders>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ListTable4-Accent5">
    <w:name w:val="List Table 4 Accent 5"/>
    <w:basedOn w:val="TableNormal"/>
    <w:uiPriority w:val="49"/>
    <w:semiHidden/>
    <w:rsid w:val="0021343A"/>
    <w:pPr>
      <w:spacing w:line="240" w:lineRule="auto"/>
    </w:pPr>
    <w:tblPr>
      <w:tblStyleRowBandSize w:val="1"/>
      <w:tblStyleColBandSize w:val="1"/>
      <w:tblBorders>
        <w:top w:val="single" w:sz="4" w:space="0" w:color="C1DDF3" w:themeColor="accent5" w:themeTint="99"/>
        <w:left w:val="single" w:sz="4" w:space="0" w:color="C1DDF3" w:themeColor="accent5" w:themeTint="99"/>
        <w:bottom w:val="single" w:sz="4" w:space="0" w:color="C1DDF3" w:themeColor="accent5" w:themeTint="99"/>
        <w:right w:val="single" w:sz="4" w:space="0" w:color="C1DDF3" w:themeColor="accent5" w:themeTint="99"/>
        <w:insideH w:val="single" w:sz="4" w:space="0" w:color="C1DDF3" w:themeColor="accent5" w:themeTint="99"/>
      </w:tblBorders>
    </w:tblPr>
    <w:tblStylePr w:type="firstRow">
      <w:rPr>
        <w:b/>
        <w:bCs/>
        <w:color w:val="FFFFFF" w:themeColor="background1"/>
      </w:rPr>
      <w:tblPr/>
      <w:tcPr>
        <w:tcBorders>
          <w:top w:val="single" w:sz="4" w:space="0" w:color="99C7EB" w:themeColor="accent5"/>
          <w:left w:val="single" w:sz="4" w:space="0" w:color="99C7EB" w:themeColor="accent5"/>
          <w:bottom w:val="single" w:sz="4" w:space="0" w:color="99C7EB" w:themeColor="accent5"/>
          <w:right w:val="single" w:sz="4" w:space="0" w:color="99C7EB" w:themeColor="accent5"/>
          <w:insideH w:val="nil"/>
        </w:tcBorders>
        <w:shd w:val="clear" w:color="auto" w:fill="99C7EB" w:themeFill="accent5"/>
      </w:tcPr>
    </w:tblStylePr>
    <w:tblStylePr w:type="lastRow">
      <w:rPr>
        <w:b/>
        <w:bCs/>
      </w:rPr>
      <w:tblPr/>
      <w:tcPr>
        <w:tcBorders>
          <w:top w:val="double" w:sz="4" w:space="0" w:color="C1DDF3" w:themeColor="accent5" w:themeTint="99"/>
        </w:tcBorders>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ListTable4-Accent6">
    <w:name w:val="List Table 4 Accent 6"/>
    <w:basedOn w:val="TableNormal"/>
    <w:uiPriority w:val="49"/>
    <w:semiHidden/>
    <w:rsid w:val="0021343A"/>
    <w:pPr>
      <w:spacing w:line="240" w:lineRule="auto"/>
    </w:p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tblBorders>
    </w:tblPr>
    <w:tblStylePr w:type="firstRow">
      <w:rPr>
        <w:b/>
        <w:bCs/>
        <w:color w:val="FFFFFF" w:themeColor="background1"/>
      </w:rPr>
      <w:tblPr/>
      <w:tcPr>
        <w:tcBorders>
          <w:top w:val="single" w:sz="4" w:space="0" w:color="A6A1B5" w:themeColor="accent6"/>
          <w:left w:val="single" w:sz="4" w:space="0" w:color="A6A1B5" w:themeColor="accent6"/>
          <w:bottom w:val="single" w:sz="4" w:space="0" w:color="A6A1B5" w:themeColor="accent6"/>
          <w:right w:val="single" w:sz="4" w:space="0" w:color="A6A1B5" w:themeColor="accent6"/>
          <w:insideH w:val="nil"/>
        </w:tcBorders>
        <w:shd w:val="clear" w:color="auto" w:fill="A6A1B5" w:themeFill="accent6"/>
      </w:tcPr>
    </w:tblStylePr>
    <w:tblStylePr w:type="lastRow">
      <w:rPr>
        <w:b/>
        <w:bCs/>
      </w:rPr>
      <w:tblPr/>
      <w:tcPr>
        <w:tcBorders>
          <w:top w:val="double" w:sz="4" w:space="0" w:color="C9C6D2" w:themeColor="accent6" w:themeTint="99"/>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ListTable5Dark">
    <w:name w:val="List Table 5 Dark"/>
    <w:basedOn w:val="TableNormal"/>
    <w:uiPriority w:val="50"/>
    <w:semiHidden/>
    <w:rsid w:val="0021343A"/>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1343A"/>
    <w:pPr>
      <w:spacing w:line="240" w:lineRule="auto"/>
    </w:pPr>
    <w:rPr>
      <w:color w:val="FFFFFF" w:themeColor="background1"/>
    </w:rPr>
    <w:tblPr>
      <w:tblStyleRowBandSize w:val="1"/>
      <w:tblStyleColBandSize w:val="1"/>
      <w:tblBorders>
        <w:top w:val="single" w:sz="24" w:space="0" w:color="00B2A9" w:themeColor="accent1"/>
        <w:left w:val="single" w:sz="24" w:space="0" w:color="00B2A9" w:themeColor="accent1"/>
        <w:bottom w:val="single" w:sz="24" w:space="0" w:color="00B2A9" w:themeColor="accent1"/>
        <w:right w:val="single" w:sz="24" w:space="0" w:color="00B2A9" w:themeColor="accent1"/>
      </w:tblBorders>
    </w:tblPr>
    <w:tcPr>
      <w:shd w:val="clear" w:color="auto" w:fill="00B2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1343A"/>
    <w:pPr>
      <w:spacing w:line="240" w:lineRule="auto"/>
    </w:pPr>
    <w:rPr>
      <w:color w:val="FFFFFF" w:themeColor="background1"/>
    </w:rPr>
    <w:tblPr>
      <w:tblStyleRowBandSize w:val="1"/>
      <w:tblStyleColBandSize w:val="1"/>
      <w:tblBorders>
        <w:top w:val="single" w:sz="24" w:space="0" w:color="0072CE" w:themeColor="accent2"/>
        <w:left w:val="single" w:sz="24" w:space="0" w:color="0072CE" w:themeColor="accent2"/>
        <w:bottom w:val="single" w:sz="24" w:space="0" w:color="0072CE" w:themeColor="accent2"/>
        <w:right w:val="single" w:sz="24" w:space="0" w:color="0072CE" w:themeColor="accent2"/>
      </w:tblBorders>
    </w:tblPr>
    <w:tcPr>
      <w:shd w:val="clear" w:color="auto" w:fill="0072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1343A"/>
    <w:pPr>
      <w:spacing w:line="240" w:lineRule="auto"/>
    </w:pPr>
    <w:rPr>
      <w:color w:val="FFFFFF" w:themeColor="background1"/>
    </w:rPr>
    <w:tblPr>
      <w:tblStyleRowBandSize w:val="1"/>
      <w:tblStyleColBandSize w:val="1"/>
      <w:tblBorders>
        <w:top w:val="single" w:sz="24" w:space="0" w:color="201547" w:themeColor="accent3"/>
        <w:left w:val="single" w:sz="24" w:space="0" w:color="201547" w:themeColor="accent3"/>
        <w:bottom w:val="single" w:sz="24" w:space="0" w:color="201547" w:themeColor="accent3"/>
        <w:right w:val="single" w:sz="24" w:space="0" w:color="201547" w:themeColor="accent3"/>
      </w:tblBorders>
    </w:tblPr>
    <w:tcPr>
      <w:shd w:val="clear" w:color="auto" w:fill="20154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1343A"/>
    <w:pPr>
      <w:spacing w:line="240" w:lineRule="auto"/>
    </w:pPr>
    <w:rPr>
      <w:color w:val="FFFFFF" w:themeColor="background1"/>
    </w:rPr>
    <w:tblPr>
      <w:tblStyleRowBandSize w:val="1"/>
      <w:tblStyleColBandSize w:val="1"/>
      <w:tblBorders>
        <w:top w:val="single" w:sz="24" w:space="0" w:color="99E0DD" w:themeColor="accent4"/>
        <w:left w:val="single" w:sz="24" w:space="0" w:color="99E0DD" w:themeColor="accent4"/>
        <w:bottom w:val="single" w:sz="24" w:space="0" w:color="99E0DD" w:themeColor="accent4"/>
        <w:right w:val="single" w:sz="24" w:space="0" w:color="99E0DD" w:themeColor="accent4"/>
      </w:tblBorders>
    </w:tblPr>
    <w:tcPr>
      <w:shd w:val="clear" w:color="auto" w:fill="99E0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1343A"/>
    <w:pPr>
      <w:spacing w:line="240" w:lineRule="auto"/>
    </w:pPr>
    <w:rPr>
      <w:color w:val="FFFFFF" w:themeColor="background1"/>
    </w:rPr>
    <w:tblPr>
      <w:tblStyleRowBandSize w:val="1"/>
      <w:tblStyleColBandSize w:val="1"/>
      <w:tblBorders>
        <w:top w:val="single" w:sz="24" w:space="0" w:color="99C7EB" w:themeColor="accent5"/>
        <w:left w:val="single" w:sz="24" w:space="0" w:color="99C7EB" w:themeColor="accent5"/>
        <w:bottom w:val="single" w:sz="24" w:space="0" w:color="99C7EB" w:themeColor="accent5"/>
        <w:right w:val="single" w:sz="24" w:space="0" w:color="99C7EB" w:themeColor="accent5"/>
      </w:tblBorders>
    </w:tblPr>
    <w:tcPr>
      <w:shd w:val="clear" w:color="auto" w:fill="99C7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1343A"/>
    <w:pPr>
      <w:spacing w:line="240" w:lineRule="auto"/>
    </w:pPr>
    <w:rPr>
      <w:color w:val="FFFFFF" w:themeColor="background1"/>
    </w:rPr>
    <w:tblPr>
      <w:tblStyleRowBandSize w:val="1"/>
      <w:tblStyleColBandSize w:val="1"/>
      <w:tblBorders>
        <w:top w:val="single" w:sz="24" w:space="0" w:color="A6A1B5" w:themeColor="accent6"/>
        <w:left w:val="single" w:sz="24" w:space="0" w:color="A6A1B5" w:themeColor="accent6"/>
        <w:bottom w:val="single" w:sz="24" w:space="0" w:color="A6A1B5" w:themeColor="accent6"/>
        <w:right w:val="single" w:sz="24" w:space="0" w:color="A6A1B5" w:themeColor="accent6"/>
      </w:tblBorders>
    </w:tblPr>
    <w:tcPr>
      <w:shd w:val="clear" w:color="auto" w:fill="A6A1B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1343A"/>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1343A"/>
    <w:pPr>
      <w:spacing w:line="240" w:lineRule="auto"/>
    </w:pPr>
    <w:rPr>
      <w:color w:val="00857E" w:themeColor="accent1" w:themeShade="BF"/>
    </w:rPr>
    <w:tblPr>
      <w:tblStyleRowBandSize w:val="1"/>
      <w:tblStyleColBandSize w:val="1"/>
      <w:tblBorders>
        <w:top w:val="single" w:sz="4" w:space="0" w:color="00B2A9" w:themeColor="accent1"/>
        <w:bottom w:val="single" w:sz="4" w:space="0" w:color="00B2A9" w:themeColor="accent1"/>
      </w:tblBorders>
    </w:tblPr>
    <w:tblStylePr w:type="firstRow">
      <w:rPr>
        <w:b/>
        <w:bCs/>
      </w:rPr>
      <w:tblPr/>
      <w:tcPr>
        <w:tcBorders>
          <w:bottom w:val="single" w:sz="4" w:space="0" w:color="00B2A9" w:themeColor="accent1"/>
        </w:tcBorders>
      </w:tcPr>
    </w:tblStylePr>
    <w:tblStylePr w:type="lastRow">
      <w:rPr>
        <w:b/>
        <w:bCs/>
      </w:rPr>
      <w:tblPr/>
      <w:tcPr>
        <w:tcBorders>
          <w:top w:val="double" w:sz="4" w:space="0" w:color="00B2A9" w:themeColor="accent1"/>
        </w:tcBorders>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ListTable6Colorful-Accent2">
    <w:name w:val="List Table 6 Colorful Accent 2"/>
    <w:basedOn w:val="TableNormal"/>
    <w:uiPriority w:val="51"/>
    <w:semiHidden/>
    <w:rsid w:val="0021343A"/>
    <w:pPr>
      <w:spacing w:line="240" w:lineRule="auto"/>
    </w:pPr>
    <w:rPr>
      <w:color w:val="00559A" w:themeColor="accent2" w:themeShade="BF"/>
    </w:rPr>
    <w:tblPr>
      <w:tblStyleRowBandSize w:val="1"/>
      <w:tblStyleColBandSize w:val="1"/>
      <w:tblBorders>
        <w:top w:val="single" w:sz="4" w:space="0" w:color="0072CE" w:themeColor="accent2"/>
        <w:bottom w:val="single" w:sz="4" w:space="0" w:color="0072CE" w:themeColor="accent2"/>
      </w:tblBorders>
    </w:tblPr>
    <w:tblStylePr w:type="firstRow">
      <w:rPr>
        <w:b/>
        <w:bCs/>
      </w:rPr>
      <w:tblPr/>
      <w:tcPr>
        <w:tcBorders>
          <w:bottom w:val="single" w:sz="4" w:space="0" w:color="0072CE" w:themeColor="accent2"/>
        </w:tcBorders>
      </w:tcPr>
    </w:tblStylePr>
    <w:tblStylePr w:type="lastRow">
      <w:rPr>
        <w:b/>
        <w:bCs/>
      </w:rPr>
      <w:tblPr/>
      <w:tcPr>
        <w:tcBorders>
          <w:top w:val="double" w:sz="4" w:space="0" w:color="0072CE" w:themeColor="accent2"/>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ListTable6Colorful-Accent3">
    <w:name w:val="List Table 6 Colorful Accent 3"/>
    <w:basedOn w:val="TableNormal"/>
    <w:uiPriority w:val="51"/>
    <w:semiHidden/>
    <w:rsid w:val="0021343A"/>
    <w:pPr>
      <w:spacing w:line="240" w:lineRule="auto"/>
    </w:pPr>
    <w:rPr>
      <w:color w:val="170F34" w:themeColor="accent3" w:themeShade="BF"/>
    </w:rPr>
    <w:tblPr>
      <w:tblStyleRowBandSize w:val="1"/>
      <w:tblStyleColBandSize w:val="1"/>
      <w:tblBorders>
        <w:top w:val="single" w:sz="4" w:space="0" w:color="201547" w:themeColor="accent3"/>
        <w:bottom w:val="single" w:sz="4" w:space="0" w:color="201547" w:themeColor="accent3"/>
      </w:tblBorders>
    </w:tblPr>
    <w:tblStylePr w:type="firstRow">
      <w:rPr>
        <w:b/>
        <w:bCs/>
      </w:rPr>
      <w:tblPr/>
      <w:tcPr>
        <w:tcBorders>
          <w:bottom w:val="single" w:sz="4" w:space="0" w:color="201547" w:themeColor="accent3"/>
        </w:tcBorders>
      </w:tcPr>
    </w:tblStylePr>
    <w:tblStylePr w:type="lastRow">
      <w:rPr>
        <w:b/>
        <w:bCs/>
      </w:rPr>
      <w:tblPr/>
      <w:tcPr>
        <w:tcBorders>
          <w:top w:val="double" w:sz="4" w:space="0" w:color="201547" w:themeColor="accent3"/>
        </w:tcBorders>
      </w:tcPr>
    </w:tblStylePr>
    <w:tblStylePr w:type="firstCol">
      <w:rPr>
        <w:b/>
        <w:bCs/>
      </w:rPr>
    </w:tblStylePr>
    <w:tblStylePr w:type="lastCol">
      <w:rPr>
        <w:b/>
        <w:bCs/>
      </w:rPr>
    </w:tblStylePr>
    <w:tblStylePr w:type="band1Vert">
      <w:tblPr/>
      <w:tcPr>
        <w:shd w:val="clear" w:color="auto" w:fill="C8BEEC" w:themeFill="accent3" w:themeFillTint="33"/>
      </w:tcPr>
    </w:tblStylePr>
    <w:tblStylePr w:type="band1Horz">
      <w:tblPr/>
      <w:tcPr>
        <w:shd w:val="clear" w:color="auto" w:fill="C8BEEC" w:themeFill="accent3" w:themeFillTint="33"/>
      </w:tcPr>
    </w:tblStylePr>
  </w:style>
  <w:style w:type="table" w:styleId="ListTable6Colorful-Accent4">
    <w:name w:val="List Table 6 Colorful Accent 4"/>
    <w:basedOn w:val="TableNormal"/>
    <w:uiPriority w:val="51"/>
    <w:semiHidden/>
    <w:rsid w:val="0021343A"/>
    <w:pPr>
      <w:spacing w:line="240" w:lineRule="auto"/>
    </w:pPr>
    <w:rPr>
      <w:color w:val="50CAC4" w:themeColor="accent4" w:themeShade="BF"/>
    </w:rPr>
    <w:tblPr>
      <w:tblStyleRowBandSize w:val="1"/>
      <w:tblStyleColBandSize w:val="1"/>
      <w:tblBorders>
        <w:top w:val="single" w:sz="4" w:space="0" w:color="99E0DD" w:themeColor="accent4"/>
        <w:bottom w:val="single" w:sz="4" w:space="0" w:color="99E0DD" w:themeColor="accent4"/>
      </w:tblBorders>
    </w:tblPr>
    <w:tblStylePr w:type="firstRow">
      <w:rPr>
        <w:b/>
        <w:bCs/>
      </w:rPr>
      <w:tblPr/>
      <w:tcPr>
        <w:tcBorders>
          <w:bottom w:val="single" w:sz="4" w:space="0" w:color="99E0DD" w:themeColor="accent4"/>
        </w:tcBorders>
      </w:tcPr>
    </w:tblStylePr>
    <w:tblStylePr w:type="lastRow">
      <w:rPr>
        <w:b/>
        <w:bCs/>
      </w:rPr>
      <w:tblPr/>
      <w:tcPr>
        <w:tcBorders>
          <w:top w:val="double" w:sz="4" w:space="0" w:color="99E0DD" w:themeColor="accent4"/>
        </w:tcBorders>
      </w:tcPr>
    </w:tblStylePr>
    <w:tblStylePr w:type="firstCol">
      <w:rPr>
        <w:b/>
        <w:bCs/>
      </w:rPr>
    </w:tblStylePr>
    <w:tblStylePr w:type="lastCol">
      <w:rPr>
        <w:b/>
        <w:bCs/>
      </w:rPr>
    </w:tblStylePr>
    <w:tblStylePr w:type="band1Vert">
      <w:tblPr/>
      <w:tcPr>
        <w:shd w:val="clear" w:color="auto" w:fill="EAF8F8" w:themeFill="accent4" w:themeFillTint="33"/>
      </w:tcPr>
    </w:tblStylePr>
    <w:tblStylePr w:type="band1Horz">
      <w:tblPr/>
      <w:tcPr>
        <w:shd w:val="clear" w:color="auto" w:fill="EAF8F8" w:themeFill="accent4" w:themeFillTint="33"/>
      </w:tcPr>
    </w:tblStylePr>
  </w:style>
  <w:style w:type="table" w:styleId="ListTable6Colorful-Accent5">
    <w:name w:val="List Table 6 Colorful Accent 5"/>
    <w:basedOn w:val="TableNormal"/>
    <w:uiPriority w:val="51"/>
    <w:semiHidden/>
    <w:rsid w:val="0021343A"/>
    <w:pPr>
      <w:spacing w:line="240" w:lineRule="auto"/>
    </w:pPr>
    <w:rPr>
      <w:color w:val="479ADB" w:themeColor="accent5" w:themeShade="BF"/>
    </w:rPr>
    <w:tblPr>
      <w:tblStyleRowBandSize w:val="1"/>
      <w:tblStyleColBandSize w:val="1"/>
      <w:tblBorders>
        <w:top w:val="single" w:sz="4" w:space="0" w:color="99C7EB" w:themeColor="accent5"/>
        <w:bottom w:val="single" w:sz="4" w:space="0" w:color="99C7EB" w:themeColor="accent5"/>
      </w:tblBorders>
    </w:tblPr>
    <w:tblStylePr w:type="firstRow">
      <w:rPr>
        <w:b/>
        <w:bCs/>
      </w:rPr>
      <w:tblPr/>
      <w:tcPr>
        <w:tcBorders>
          <w:bottom w:val="single" w:sz="4" w:space="0" w:color="99C7EB" w:themeColor="accent5"/>
        </w:tcBorders>
      </w:tcPr>
    </w:tblStylePr>
    <w:tblStylePr w:type="lastRow">
      <w:rPr>
        <w:b/>
        <w:bCs/>
      </w:rPr>
      <w:tblPr/>
      <w:tcPr>
        <w:tcBorders>
          <w:top w:val="double" w:sz="4" w:space="0" w:color="99C7EB" w:themeColor="accent5"/>
        </w:tcBorders>
      </w:tcPr>
    </w:tblStylePr>
    <w:tblStylePr w:type="firstCol">
      <w:rPr>
        <w:b/>
        <w:bCs/>
      </w:rPr>
    </w:tblStylePr>
    <w:tblStylePr w:type="lastCol">
      <w:rPr>
        <w:b/>
        <w:bCs/>
      </w:rPr>
    </w:tblStylePr>
    <w:tblStylePr w:type="band1Vert">
      <w:tblPr/>
      <w:tcPr>
        <w:shd w:val="clear" w:color="auto" w:fill="EAF3FB" w:themeFill="accent5" w:themeFillTint="33"/>
      </w:tcPr>
    </w:tblStylePr>
    <w:tblStylePr w:type="band1Horz">
      <w:tblPr/>
      <w:tcPr>
        <w:shd w:val="clear" w:color="auto" w:fill="EAF3FB" w:themeFill="accent5" w:themeFillTint="33"/>
      </w:tcPr>
    </w:tblStylePr>
  </w:style>
  <w:style w:type="table" w:styleId="ListTable6Colorful-Accent6">
    <w:name w:val="List Table 6 Colorful Accent 6"/>
    <w:basedOn w:val="TableNormal"/>
    <w:uiPriority w:val="51"/>
    <w:semiHidden/>
    <w:rsid w:val="0021343A"/>
    <w:pPr>
      <w:spacing w:line="240" w:lineRule="auto"/>
    </w:pPr>
    <w:rPr>
      <w:color w:val="78708F" w:themeColor="accent6" w:themeShade="BF"/>
    </w:rPr>
    <w:tblPr>
      <w:tblStyleRowBandSize w:val="1"/>
      <w:tblStyleColBandSize w:val="1"/>
      <w:tblBorders>
        <w:top w:val="single" w:sz="4" w:space="0" w:color="A6A1B5" w:themeColor="accent6"/>
        <w:bottom w:val="single" w:sz="4" w:space="0" w:color="A6A1B5" w:themeColor="accent6"/>
      </w:tblBorders>
    </w:tblPr>
    <w:tblStylePr w:type="firstRow">
      <w:rPr>
        <w:b/>
        <w:bCs/>
      </w:rPr>
      <w:tblPr/>
      <w:tcPr>
        <w:tcBorders>
          <w:bottom w:val="single" w:sz="4" w:space="0" w:color="A6A1B5" w:themeColor="accent6"/>
        </w:tcBorders>
      </w:tcPr>
    </w:tblStylePr>
    <w:tblStylePr w:type="lastRow">
      <w:rPr>
        <w:b/>
        <w:bCs/>
      </w:rPr>
      <w:tblPr/>
      <w:tcPr>
        <w:tcBorders>
          <w:top w:val="double" w:sz="4" w:space="0" w:color="A6A1B5" w:themeColor="accent6"/>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ListTable7Colorful">
    <w:name w:val="List Table 7 Colorful"/>
    <w:basedOn w:val="TableNormal"/>
    <w:uiPriority w:val="52"/>
    <w:semiHidden/>
    <w:rsid w:val="0021343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1343A"/>
    <w:pPr>
      <w:spacing w:line="240" w:lineRule="auto"/>
    </w:pPr>
    <w:rPr>
      <w:color w:val="0085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1"/>
        </w:tcBorders>
        <w:shd w:val="clear" w:color="auto" w:fill="FFFFFF" w:themeFill="background1"/>
      </w:tcPr>
    </w:tblStylePr>
    <w:tblStylePr w:type="band1Vert">
      <w:tblPr/>
      <w:tcPr>
        <w:shd w:val="clear" w:color="auto" w:fill="BCFFFB" w:themeFill="accent1" w:themeFillTint="33"/>
      </w:tcPr>
    </w:tblStylePr>
    <w:tblStylePr w:type="band1Horz">
      <w:tblPr/>
      <w:tcPr>
        <w:shd w:val="clear" w:color="auto" w:fill="BCFF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1343A"/>
    <w:pPr>
      <w:spacing w:line="240" w:lineRule="auto"/>
    </w:pPr>
    <w:rPr>
      <w:color w:val="0055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E" w:themeColor="accent2"/>
        </w:tcBorders>
        <w:shd w:val="clear" w:color="auto" w:fill="FFFFFF" w:themeFill="background1"/>
      </w:tcPr>
    </w:tblStylePr>
    <w:tblStylePr w:type="band1Vert">
      <w:tblPr/>
      <w:tcPr>
        <w:shd w:val="clear" w:color="auto" w:fill="C2E3FF" w:themeFill="accent2" w:themeFillTint="33"/>
      </w:tcPr>
    </w:tblStylePr>
    <w:tblStylePr w:type="band1Horz">
      <w:tblPr/>
      <w:tcPr>
        <w:shd w:val="clear" w:color="auto" w:fill="C2E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1343A"/>
    <w:pPr>
      <w:spacing w:line="240" w:lineRule="auto"/>
    </w:pPr>
    <w:rPr>
      <w:color w:val="170F3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3"/>
        </w:tcBorders>
        <w:shd w:val="clear" w:color="auto" w:fill="FFFFFF" w:themeFill="background1"/>
      </w:tcPr>
    </w:tblStylePr>
    <w:tblStylePr w:type="band1Vert">
      <w:tblPr/>
      <w:tcPr>
        <w:shd w:val="clear" w:color="auto" w:fill="C8BEEC" w:themeFill="accent3" w:themeFillTint="33"/>
      </w:tcPr>
    </w:tblStylePr>
    <w:tblStylePr w:type="band1Horz">
      <w:tblPr/>
      <w:tcPr>
        <w:shd w:val="clear" w:color="auto" w:fill="C8BE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1343A"/>
    <w:pPr>
      <w:spacing w:line="240" w:lineRule="auto"/>
    </w:pPr>
    <w:rPr>
      <w:color w:val="50CAC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4"/>
        </w:tcBorders>
        <w:shd w:val="clear" w:color="auto" w:fill="FFFFFF" w:themeFill="background1"/>
      </w:tcPr>
    </w:tblStylePr>
    <w:tblStylePr w:type="band1Vert">
      <w:tblPr/>
      <w:tcPr>
        <w:shd w:val="clear" w:color="auto" w:fill="EAF8F8" w:themeFill="accent4" w:themeFillTint="33"/>
      </w:tcPr>
    </w:tblStylePr>
    <w:tblStylePr w:type="band1Horz">
      <w:tblPr/>
      <w:tcPr>
        <w:shd w:val="clear" w:color="auto" w:fill="EAF8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1343A"/>
    <w:pPr>
      <w:spacing w:line="240" w:lineRule="auto"/>
    </w:pPr>
    <w:rPr>
      <w:color w:val="479AD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7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7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7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7EB" w:themeColor="accent5"/>
        </w:tcBorders>
        <w:shd w:val="clear" w:color="auto" w:fill="FFFFFF" w:themeFill="background1"/>
      </w:tcPr>
    </w:tblStylePr>
    <w:tblStylePr w:type="band1Vert">
      <w:tblPr/>
      <w:tcPr>
        <w:shd w:val="clear" w:color="auto" w:fill="EAF3FB" w:themeFill="accent5" w:themeFillTint="33"/>
      </w:tcPr>
    </w:tblStylePr>
    <w:tblStylePr w:type="band1Horz">
      <w:tblPr/>
      <w:tcPr>
        <w:shd w:val="clear" w:color="auto" w:fill="EAF3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1343A"/>
    <w:pPr>
      <w:spacing w:line="240" w:lineRule="auto"/>
    </w:pPr>
    <w:rPr>
      <w:color w:val="7870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A1B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1B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1B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1B5" w:themeColor="accent6"/>
        </w:tcBorders>
        <w:shd w:val="clear" w:color="auto" w:fill="FFFFFF" w:themeFill="background1"/>
      </w:tcPr>
    </w:tblStylePr>
    <w:tblStylePr w:type="band1Vert">
      <w:tblPr/>
      <w:tcPr>
        <w:shd w:val="clear" w:color="auto" w:fill="EDECF0" w:themeFill="accent6" w:themeFillTint="33"/>
      </w:tcPr>
    </w:tblStylePr>
    <w:tblStylePr w:type="band1Horz">
      <w:tblPr/>
      <w:tcPr>
        <w:shd w:val="clear" w:color="auto" w:fill="E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1343A"/>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1343A"/>
    <w:pPr>
      <w:spacing w:line="240" w:lineRule="auto"/>
    </w:pPr>
    <w:tblPr>
      <w:tblStyleRowBandSize w:val="1"/>
      <w:tblStyleColBandSize w:val="1"/>
      <w:tblBorders>
        <w:top w:val="single" w:sz="8" w:space="0" w:color="06FFF2" w:themeColor="accent1" w:themeTint="BF"/>
        <w:left w:val="single" w:sz="8" w:space="0" w:color="06FFF2" w:themeColor="accent1" w:themeTint="BF"/>
        <w:bottom w:val="single" w:sz="8" w:space="0" w:color="06FFF2" w:themeColor="accent1" w:themeTint="BF"/>
        <w:right w:val="single" w:sz="8" w:space="0" w:color="06FFF2" w:themeColor="accent1" w:themeTint="BF"/>
        <w:insideH w:val="single" w:sz="8" w:space="0" w:color="06FFF2" w:themeColor="accent1" w:themeTint="BF"/>
        <w:insideV w:val="single" w:sz="8" w:space="0" w:color="06FFF2" w:themeColor="accent1" w:themeTint="BF"/>
      </w:tblBorders>
    </w:tblPr>
    <w:tcPr>
      <w:shd w:val="clear" w:color="auto" w:fill="ACFFFA" w:themeFill="accent1" w:themeFillTint="3F"/>
    </w:tcPr>
    <w:tblStylePr w:type="firstRow">
      <w:rPr>
        <w:b/>
        <w:bCs/>
      </w:rPr>
    </w:tblStylePr>
    <w:tblStylePr w:type="lastRow">
      <w:rPr>
        <w:b/>
        <w:bCs/>
      </w:rPr>
      <w:tblPr/>
      <w:tcPr>
        <w:tcBorders>
          <w:top w:val="single" w:sz="18" w:space="0" w:color="06FFF2" w:themeColor="accent1" w:themeTint="BF"/>
        </w:tcBorders>
      </w:tcPr>
    </w:tblStylePr>
    <w:tblStylePr w:type="firstCol">
      <w:rPr>
        <w:b/>
        <w:bCs/>
      </w:rPr>
    </w:tblStylePr>
    <w:tblStylePr w:type="lastCol">
      <w:rPr>
        <w:b/>
        <w:bCs/>
      </w:rPr>
    </w:tblStylePr>
    <w:tblStylePr w:type="band1Vert">
      <w:tblPr/>
      <w:tcPr>
        <w:shd w:val="clear" w:color="auto" w:fill="59FFF6" w:themeFill="accent1" w:themeFillTint="7F"/>
      </w:tcPr>
    </w:tblStylePr>
    <w:tblStylePr w:type="band1Horz">
      <w:tblPr/>
      <w:tcPr>
        <w:shd w:val="clear" w:color="auto" w:fill="59FFF6" w:themeFill="accent1" w:themeFillTint="7F"/>
      </w:tcPr>
    </w:tblStylePr>
  </w:style>
  <w:style w:type="table" w:styleId="MediumGrid1-Accent2">
    <w:name w:val="Medium Grid 1 Accent 2"/>
    <w:basedOn w:val="TableNormal"/>
    <w:uiPriority w:val="67"/>
    <w:semiHidden/>
    <w:rsid w:val="0021343A"/>
    <w:pPr>
      <w:spacing w:line="240" w:lineRule="auto"/>
    </w:pPr>
    <w:tblPr>
      <w:tblStyleRowBandSize w:val="1"/>
      <w:tblStyleColBandSize w:val="1"/>
      <w:tblBorders>
        <w:top w:val="single" w:sz="8" w:space="0" w:color="1B99FF" w:themeColor="accent2" w:themeTint="BF"/>
        <w:left w:val="single" w:sz="8" w:space="0" w:color="1B99FF" w:themeColor="accent2" w:themeTint="BF"/>
        <w:bottom w:val="single" w:sz="8" w:space="0" w:color="1B99FF" w:themeColor="accent2" w:themeTint="BF"/>
        <w:right w:val="single" w:sz="8" w:space="0" w:color="1B99FF" w:themeColor="accent2" w:themeTint="BF"/>
        <w:insideH w:val="single" w:sz="8" w:space="0" w:color="1B99FF" w:themeColor="accent2" w:themeTint="BF"/>
        <w:insideV w:val="single" w:sz="8" w:space="0" w:color="1B99FF" w:themeColor="accent2" w:themeTint="BF"/>
      </w:tblBorders>
    </w:tblPr>
    <w:tcPr>
      <w:shd w:val="clear" w:color="auto" w:fill="B3DDFF" w:themeFill="accent2" w:themeFillTint="3F"/>
    </w:tcPr>
    <w:tblStylePr w:type="firstRow">
      <w:rPr>
        <w:b/>
        <w:bCs/>
      </w:rPr>
    </w:tblStylePr>
    <w:tblStylePr w:type="lastRow">
      <w:rPr>
        <w:b/>
        <w:bCs/>
      </w:rPr>
      <w:tblPr/>
      <w:tcPr>
        <w:tcBorders>
          <w:top w:val="single" w:sz="18" w:space="0" w:color="1B99FF" w:themeColor="accent2" w:themeTint="BF"/>
        </w:tcBorders>
      </w:tcPr>
    </w:tblStylePr>
    <w:tblStylePr w:type="firstCol">
      <w:rPr>
        <w:b/>
        <w:bCs/>
      </w:rPr>
    </w:tblStylePr>
    <w:tblStylePr w:type="lastCol">
      <w:rPr>
        <w:b/>
        <w:bCs/>
      </w:rPr>
    </w:tblStylePr>
    <w:tblStylePr w:type="band1Vert">
      <w:tblPr/>
      <w:tcPr>
        <w:shd w:val="clear" w:color="auto" w:fill="67BBFF" w:themeFill="accent2" w:themeFillTint="7F"/>
      </w:tcPr>
    </w:tblStylePr>
    <w:tblStylePr w:type="band1Horz">
      <w:tblPr/>
      <w:tcPr>
        <w:shd w:val="clear" w:color="auto" w:fill="67BBFF" w:themeFill="accent2" w:themeFillTint="7F"/>
      </w:tcPr>
    </w:tblStylePr>
  </w:style>
  <w:style w:type="table" w:styleId="MediumGrid1-Accent3">
    <w:name w:val="Medium Grid 1 Accent 3"/>
    <w:basedOn w:val="TableNormal"/>
    <w:uiPriority w:val="67"/>
    <w:semiHidden/>
    <w:rsid w:val="0021343A"/>
    <w:pPr>
      <w:spacing w:line="240" w:lineRule="auto"/>
    </w:pPr>
    <w:tblPr>
      <w:tblStyleRowBandSize w:val="1"/>
      <w:tblStyleColBandSize w:val="1"/>
      <w:tblBorders>
        <w:top w:val="single" w:sz="8" w:space="0" w:color="442D97" w:themeColor="accent3" w:themeTint="BF"/>
        <w:left w:val="single" w:sz="8" w:space="0" w:color="442D97" w:themeColor="accent3" w:themeTint="BF"/>
        <w:bottom w:val="single" w:sz="8" w:space="0" w:color="442D97" w:themeColor="accent3" w:themeTint="BF"/>
        <w:right w:val="single" w:sz="8" w:space="0" w:color="442D97" w:themeColor="accent3" w:themeTint="BF"/>
        <w:insideH w:val="single" w:sz="8" w:space="0" w:color="442D97" w:themeColor="accent3" w:themeTint="BF"/>
        <w:insideV w:val="single" w:sz="8" w:space="0" w:color="442D97" w:themeColor="accent3" w:themeTint="BF"/>
      </w:tblBorders>
    </w:tblPr>
    <w:tcPr>
      <w:shd w:val="clear" w:color="auto" w:fill="BBAFE7" w:themeFill="accent3" w:themeFillTint="3F"/>
    </w:tcPr>
    <w:tblStylePr w:type="firstRow">
      <w:rPr>
        <w:b/>
        <w:bCs/>
      </w:rPr>
    </w:tblStylePr>
    <w:tblStylePr w:type="lastRow">
      <w:rPr>
        <w:b/>
        <w:bCs/>
      </w:rPr>
      <w:tblPr/>
      <w:tcPr>
        <w:tcBorders>
          <w:top w:val="single" w:sz="18" w:space="0" w:color="442D97" w:themeColor="accent3" w:themeTint="BF"/>
        </w:tcBorders>
      </w:tcPr>
    </w:tblStylePr>
    <w:tblStylePr w:type="firstCol">
      <w:rPr>
        <w:b/>
        <w:bCs/>
      </w:rPr>
    </w:tblStylePr>
    <w:tblStylePr w:type="lastCol">
      <w:rPr>
        <w:b/>
        <w:bCs/>
      </w:rPr>
    </w:tblStylePr>
    <w:tblStylePr w:type="band1Vert">
      <w:tblPr/>
      <w:tcPr>
        <w:shd w:val="clear" w:color="auto" w:fill="775ECF" w:themeFill="accent3" w:themeFillTint="7F"/>
      </w:tcPr>
    </w:tblStylePr>
    <w:tblStylePr w:type="band1Horz">
      <w:tblPr/>
      <w:tcPr>
        <w:shd w:val="clear" w:color="auto" w:fill="775ECF" w:themeFill="accent3" w:themeFillTint="7F"/>
      </w:tcPr>
    </w:tblStylePr>
  </w:style>
  <w:style w:type="table" w:styleId="MediumGrid1-Accent4">
    <w:name w:val="Medium Grid 1 Accent 4"/>
    <w:basedOn w:val="TableNormal"/>
    <w:uiPriority w:val="67"/>
    <w:semiHidden/>
    <w:rsid w:val="0021343A"/>
    <w:pPr>
      <w:spacing w:line="240" w:lineRule="auto"/>
    </w:pPr>
    <w:tblPr>
      <w:tblStyleRowBandSize w:val="1"/>
      <w:tblStyleColBandSize w:val="1"/>
      <w:tblBorders>
        <w:top w:val="single" w:sz="8" w:space="0" w:color="B2E7E5" w:themeColor="accent4" w:themeTint="BF"/>
        <w:left w:val="single" w:sz="8" w:space="0" w:color="B2E7E5" w:themeColor="accent4" w:themeTint="BF"/>
        <w:bottom w:val="single" w:sz="8" w:space="0" w:color="B2E7E5" w:themeColor="accent4" w:themeTint="BF"/>
        <w:right w:val="single" w:sz="8" w:space="0" w:color="B2E7E5" w:themeColor="accent4" w:themeTint="BF"/>
        <w:insideH w:val="single" w:sz="8" w:space="0" w:color="B2E7E5" w:themeColor="accent4" w:themeTint="BF"/>
        <w:insideV w:val="single" w:sz="8" w:space="0" w:color="B2E7E5" w:themeColor="accent4" w:themeTint="BF"/>
      </w:tblBorders>
    </w:tblPr>
    <w:tcPr>
      <w:shd w:val="clear" w:color="auto" w:fill="E5F7F6" w:themeFill="accent4" w:themeFillTint="3F"/>
    </w:tcPr>
    <w:tblStylePr w:type="firstRow">
      <w:rPr>
        <w:b/>
        <w:bCs/>
      </w:rPr>
    </w:tblStylePr>
    <w:tblStylePr w:type="lastRow">
      <w:rPr>
        <w:b/>
        <w:bCs/>
      </w:rPr>
      <w:tblPr/>
      <w:tcPr>
        <w:tcBorders>
          <w:top w:val="single" w:sz="18" w:space="0" w:color="B2E7E5" w:themeColor="accent4" w:themeTint="BF"/>
        </w:tcBorders>
      </w:tcPr>
    </w:tblStylePr>
    <w:tblStylePr w:type="firstCol">
      <w:rPr>
        <w:b/>
        <w:bCs/>
      </w:rPr>
    </w:tblStylePr>
    <w:tblStylePr w:type="lastCol">
      <w:rPr>
        <w:b/>
        <w:bCs/>
      </w:rPr>
    </w:tblStylePr>
    <w:tblStylePr w:type="band1Vert">
      <w:tblPr/>
      <w:tcPr>
        <w:shd w:val="clear" w:color="auto" w:fill="CCEFEE" w:themeFill="accent4" w:themeFillTint="7F"/>
      </w:tcPr>
    </w:tblStylePr>
    <w:tblStylePr w:type="band1Horz">
      <w:tblPr/>
      <w:tcPr>
        <w:shd w:val="clear" w:color="auto" w:fill="CCEFEE" w:themeFill="accent4" w:themeFillTint="7F"/>
      </w:tcPr>
    </w:tblStylePr>
  </w:style>
  <w:style w:type="table" w:styleId="MediumGrid1-Accent5">
    <w:name w:val="Medium Grid 1 Accent 5"/>
    <w:basedOn w:val="TableNormal"/>
    <w:uiPriority w:val="67"/>
    <w:semiHidden/>
    <w:rsid w:val="0021343A"/>
    <w:pPr>
      <w:spacing w:line="240" w:lineRule="auto"/>
    </w:pPr>
    <w:tblPr>
      <w:tblStyleRowBandSize w:val="1"/>
      <w:tblStyleColBandSize w:val="1"/>
      <w:tblBorders>
        <w:top w:val="single" w:sz="8" w:space="0" w:color="B2D4F0" w:themeColor="accent5" w:themeTint="BF"/>
        <w:left w:val="single" w:sz="8" w:space="0" w:color="B2D4F0" w:themeColor="accent5" w:themeTint="BF"/>
        <w:bottom w:val="single" w:sz="8" w:space="0" w:color="B2D4F0" w:themeColor="accent5" w:themeTint="BF"/>
        <w:right w:val="single" w:sz="8" w:space="0" w:color="B2D4F0" w:themeColor="accent5" w:themeTint="BF"/>
        <w:insideH w:val="single" w:sz="8" w:space="0" w:color="B2D4F0" w:themeColor="accent5" w:themeTint="BF"/>
        <w:insideV w:val="single" w:sz="8" w:space="0" w:color="B2D4F0" w:themeColor="accent5" w:themeTint="BF"/>
      </w:tblBorders>
    </w:tblPr>
    <w:tcPr>
      <w:shd w:val="clear" w:color="auto" w:fill="E5F1FA" w:themeFill="accent5" w:themeFillTint="3F"/>
    </w:tcPr>
    <w:tblStylePr w:type="firstRow">
      <w:rPr>
        <w:b/>
        <w:bCs/>
      </w:rPr>
    </w:tblStylePr>
    <w:tblStylePr w:type="lastRow">
      <w:rPr>
        <w:b/>
        <w:bCs/>
      </w:rPr>
      <w:tblPr/>
      <w:tcPr>
        <w:tcBorders>
          <w:top w:val="single" w:sz="18" w:space="0" w:color="B2D4F0" w:themeColor="accent5" w:themeTint="BF"/>
        </w:tcBorders>
      </w:tcPr>
    </w:tblStylePr>
    <w:tblStylePr w:type="firstCol">
      <w:rPr>
        <w:b/>
        <w:bCs/>
      </w:rPr>
    </w:tblStylePr>
    <w:tblStylePr w:type="lastCol">
      <w:rPr>
        <w:b/>
        <w:bCs/>
      </w:rPr>
    </w:tblStylePr>
    <w:tblStylePr w:type="band1Vert">
      <w:tblPr/>
      <w:tcPr>
        <w:shd w:val="clear" w:color="auto" w:fill="CCE2F5" w:themeFill="accent5" w:themeFillTint="7F"/>
      </w:tcPr>
    </w:tblStylePr>
    <w:tblStylePr w:type="band1Horz">
      <w:tblPr/>
      <w:tcPr>
        <w:shd w:val="clear" w:color="auto" w:fill="CCE2F5" w:themeFill="accent5" w:themeFillTint="7F"/>
      </w:tcPr>
    </w:tblStylePr>
  </w:style>
  <w:style w:type="table" w:styleId="MediumGrid1-Accent6">
    <w:name w:val="Medium Grid 1 Accent 6"/>
    <w:basedOn w:val="TableNormal"/>
    <w:uiPriority w:val="67"/>
    <w:semiHidden/>
    <w:rsid w:val="0021343A"/>
    <w:pPr>
      <w:spacing w:line="240" w:lineRule="auto"/>
    </w:pPr>
    <w:tblPr>
      <w:tblStyleRowBandSize w:val="1"/>
      <w:tblStyleColBandSize w:val="1"/>
      <w:tblBorders>
        <w:top w:val="single" w:sz="8" w:space="0" w:color="BCB8C7" w:themeColor="accent6" w:themeTint="BF"/>
        <w:left w:val="single" w:sz="8" w:space="0" w:color="BCB8C7" w:themeColor="accent6" w:themeTint="BF"/>
        <w:bottom w:val="single" w:sz="8" w:space="0" w:color="BCB8C7" w:themeColor="accent6" w:themeTint="BF"/>
        <w:right w:val="single" w:sz="8" w:space="0" w:color="BCB8C7" w:themeColor="accent6" w:themeTint="BF"/>
        <w:insideH w:val="single" w:sz="8" w:space="0" w:color="BCB8C7" w:themeColor="accent6" w:themeTint="BF"/>
        <w:insideV w:val="single" w:sz="8" w:space="0" w:color="BCB8C7" w:themeColor="accent6" w:themeTint="BF"/>
      </w:tblBorders>
    </w:tblPr>
    <w:tcPr>
      <w:shd w:val="clear" w:color="auto" w:fill="E8E7EC" w:themeFill="accent6" w:themeFillTint="3F"/>
    </w:tcPr>
    <w:tblStylePr w:type="firstRow">
      <w:rPr>
        <w:b/>
        <w:bCs/>
      </w:rPr>
    </w:tblStylePr>
    <w:tblStylePr w:type="lastRow">
      <w:rPr>
        <w:b/>
        <w:bCs/>
      </w:rPr>
      <w:tblPr/>
      <w:tcPr>
        <w:tcBorders>
          <w:top w:val="single" w:sz="18" w:space="0" w:color="BCB8C7" w:themeColor="accent6" w:themeTint="BF"/>
        </w:tcBorders>
      </w:tcPr>
    </w:tblStylePr>
    <w:tblStylePr w:type="firstCol">
      <w:rPr>
        <w:b/>
        <w:bCs/>
      </w:rPr>
    </w:tblStylePr>
    <w:tblStylePr w:type="lastCol">
      <w:rPr>
        <w:b/>
        <w:bCs/>
      </w:rPr>
    </w:tblStylePr>
    <w:tblStylePr w:type="band1Vert">
      <w:tblPr/>
      <w:tcPr>
        <w:shd w:val="clear" w:color="auto" w:fill="D2D0DA" w:themeFill="accent6" w:themeFillTint="7F"/>
      </w:tcPr>
    </w:tblStylePr>
    <w:tblStylePr w:type="band1Horz">
      <w:tblPr/>
      <w:tcPr>
        <w:shd w:val="clear" w:color="auto" w:fill="D2D0DA" w:themeFill="accent6" w:themeFillTint="7F"/>
      </w:tcPr>
    </w:tblStylePr>
  </w:style>
  <w:style w:type="table" w:styleId="MediumGrid2">
    <w:name w:val="Medium Grid 2"/>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insideH w:val="single" w:sz="8" w:space="0" w:color="00B2A9" w:themeColor="accent1"/>
        <w:insideV w:val="single" w:sz="8" w:space="0" w:color="00B2A9" w:themeColor="accent1"/>
      </w:tblBorders>
    </w:tblPr>
    <w:tcPr>
      <w:shd w:val="clear" w:color="auto" w:fill="ACFFFA" w:themeFill="accent1" w:themeFillTint="3F"/>
    </w:tcPr>
    <w:tblStylePr w:type="firstRow">
      <w:rPr>
        <w:b/>
        <w:bCs/>
        <w:color w:val="363534" w:themeColor="text1"/>
      </w:rPr>
      <w:tblPr/>
      <w:tcPr>
        <w:shd w:val="clear" w:color="auto" w:fill="DEFFFD"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1" w:themeFillTint="33"/>
      </w:tcPr>
    </w:tblStylePr>
    <w:tblStylePr w:type="band1Vert">
      <w:tblPr/>
      <w:tcPr>
        <w:shd w:val="clear" w:color="auto" w:fill="59FFF6" w:themeFill="accent1" w:themeFillTint="7F"/>
      </w:tcPr>
    </w:tblStylePr>
    <w:tblStylePr w:type="band1Horz">
      <w:tblPr/>
      <w:tcPr>
        <w:tcBorders>
          <w:insideH w:val="single" w:sz="6" w:space="0" w:color="00B2A9" w:themeColor="accent1"/>
          <w:insideV w:val="single" w:sz="6" w:space="0" w:color="00B2A9" w:themeColor="accent1"/>
        </w:tcBorders>
        <w:shd w:val="clear" w:color="auto" w:fill="59FF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0072CE" w:themeColor="accent2"/>
        <w:left w:val="single" w:sz="8" w:space="0" w:color="0072CE" w:themeColor="accent2"/>
        <w:bottom w:val="single" w:sz="8" w:space="0" w:color="0072CE" w:themeColor="accent2"/>
        <w:right w:val="single" w:sz="8" w:space="0" w:color="0072CE" w:themeColor="accent2"/>
        <w:insideH w:val="single" w:sz="8" w:space="0" w:color="0072CE" w:themeColor="accent2"/>
        <w:insideV w:val="single" w:sz="8" w:space="0" w:color="0072CE" w:themeColor="accent2"/>
      </w:tblBorders>
    </w:tblPr>
    <w:tcPr>
      <w:shd w:val="clear" w:color="auto" w:fill="B3DDFF" w:themeFill="accent2" w:themeFillTint="3F"/>
    </w:tcPr>
    <w:tblStylePr w:type="firstRow">
      <w:rPr>
        <w:b/>
        <w:bCs/>
        <w:color w:val="363534" w:themeColor="text1"/>
      </w:rPr>
      <w:tblPr/>
      <w:tcPr>
        <w:shd w:val="clear" w:color="auto" w:fill="E1F1FF"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2E3FF" w:themeFill="accent2" w:themeFillTint="33"/>
      </w:tcPr>
    </w:tblStylePr>
    <w:tblStylePr w:type="band1Vert">
      <w:tblPr/>
      <w:tcPr>
        <w:shd w:val="clear" w:color="auto" w:fill="67BBFF" w:themeFill="accent2" w:themeFillTint="7F"/>
      </w:tcPr>
    </w:tblStylePr>
    <w:tblStylePr w:type="band1Horz">
      <w:tblPr/>
      <w:tcPr>
        <w:tcBorders>
          <w:insideH w:val="single" w:sz="6" w:space="0" w:color="0072CE" w:themeColor="accent2"/>
          <w:insideV w:val="single" w:sz="6" w:space="0" w:color="0072CE" w:themeColor="accent2"/>
        </w:tcBorders>
        <w:shd w:val="clear" w:color="auto" w:fill="67B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3"/>
        <w:left w:val="single" w:sz="8" w:space="0" w:color="201547" w:themeColor="accent3"/>
        <w:bottom w:val="single" w:sz="8" w:space="0" w:color="201547" w:themeColor="accent3"/>
        <w:right w:val="single" w:sz="8" w:space="0" w:color="201547" w:themeColor="accent3"/>
        <w:insideH w:val="single" w:sz="8" w:space="0" w:color="201547" w:themeColor="accent3"/>
        <w:insideV w:val="single" w:sz="8" w:space="0" w:color="201547" w:themeColor="accent3"/>
      </w:tblBorders>
    </w:tblPr>
    <w:tcPr>
      <w:shd w:val="clear" w:color="auto" w:fill="BBAFE7" w:themeFill="accent3" w:themeFillTint="3F"/>
    </w:tcPr>
    <w:tblStylePr w:type="firstRow">
      <w:rPr>
        <w:b/>
        <w:bCs/>
        <w:color w:val="363534" w:themeColor="text1"/>
      </w:rPr>
      <w:tblPr/>
      <w:tcPr>
        <w:shd w:val="clear" w:color="auto" w:fill="E4DFF5"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3" w:themeFillTint="33"/>
      </w:tcPr>
    </w:tblStylePr>
    <w:tblStylePr w:type="band1Vert">
      <w:tblPr/>
      <w:tcPr>
        <w:shd w:val="clear" w:color="auto" w:fill="775ECF" w:themeFill="accent3" w:themeFillTint="7F"/>
      </w:tcPr>
    </w:tblStylePr>
    <w:tblStylePr w:type="band1Horz">
      <w:tblPr/>
      <w:tcPr>
        <w:tcBorders>
          <w:insideH w:val="single" w:sz="6" w:space="0" w:color="201547" w:themeColor="accent3"/>
          <w:insideV w:val="single" w:sz="6" w:space="0" w:color="201547" w:themeColor="accent3"/>
        </w:tcBorders>
        <w:shd w:val="clear" w:color="auto" w:fill="775E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4"/>
        <w:left w:val="single" w:sz="8" w:space="0" w:color="99E0DD" w:themeColor="accent4"/>
        <w:bottom w:val="single" w:sz="8" w:space="0" w:color="99E0DD" w:themeColor="accent4"/>
        <w:right w:val="single" w:sz="8" w:space="0" w:color="99E0DD" w:themeColor="accent4"/>
        <w:insideH w:val="single" w:sz="8" w:space="0" w:color="99E0DD" w:themeColor="accent4"/>
        <w:insideV w:val="single" w:sz="8" w:space="0" w:color="99E0DD" w:themeColor="accent4"/>
      </w:tblBorders>
    </w:tblPr>
    <w:tcPr>
      <w:shd w:val="clear" w:color="auto" w:fill="E5F7F6" w:themeFill="accent4" w:themeFillTint="3F"/>
    </w:tcPr>
    <w:tblStylePr w:type="firstRow">
      <w:rPr>
        <w:b/>
        <w:bCs/>
        <w:color w:val="363534" w:themeColor="text1"/>
      </w:rPr>
      <w:tblPr/>
      <w:tcPr>
        <w:shd w:val="clear" w:color="auto" w:fill="F4FC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4" w:themeFillTint="33"/>
      </w:tcPr>
    </w:tblStylePr>
    <w:tblStylePr w:type="band1Vert">
      <w:tblPr/>
      <w:tcPr>
        <w:shd w:val="clear" w:color="auto" w:fill="CCEFEE" w:themeFill="accent4" w:themeFillTint="7F"/>
      </w:tcPr>
    </w:tblStylePr>
    <w:tblStylePr w:type="band1Horz">
      <w:tblPr/>
      <w:tcPr>
        <w:tcBorders>
          <w:insideH w:val="single" w:sz="6" w:space="0" w:color="99E0DD" w:themeColor="accent4"/>
          <w:insideV w:val="single" w:sz="6" w:space="0" w:color="99E0DD" w:themeColor="accent4"/>
        </w:tcBorders>
        <w:shd w:val="clear" w:color="auto" w:fill="CCEF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9C7EB" w:themeColor="accent5"/>
        <w:left w:val="single" w:sz="8" w:space="0" w:color="99C7EB" w:themeColor="accent5"/>
        <w:bottom w:val="single" w:sz="8" w:space="0" w:color="99C7EB" w:themeColor="accent5"/>
        <w:right w:val="single" w:sz="8" w:space="0" w:color="99C7EB" w:themeColor="accent5"/>
        <w:insideH w:val="single" w:sz="8" w:space="0" w:color="99C7EB" w:themeColor="accent5"/>
        <w:insideV w:val="single" w:sz="8" w:space="0" w:color="99C7EB" w:themeColor="accent5"/>
      </w:tblBorders>
    </w:tblPr>
    <w:tcPr>
      <w:shd w:val="clear" w:color="auto" w:fill="E5F1FA" w:themeFill="accent5" w:themeFillTint="3F"/>
    </w:tcPr>
    <w:tblStylePr w:type="firstRow">
      <w:rPr>
        <w:b/>
        <w:bCs/>
        <w:color w:val="363534" w:themeColor="text1"/>
      </w:rPr>
      <w:tblPr/>
      <w:tcPr>
        <w:shd w:val="clear" w:color="auto" w:fill="F4F9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3FB" w:themeFill="accent5" w:themeFillTint="33"/>
      </w:tcPr>
    </w:tblStylePr>
    <w:tblStylePr w:type="band1Vert">
      <w:tblPr/>
      <w:tcPr>
        <w:shd w:val="clear" w:color="auto" w:fill="CCE2F5" w:themeFill="accent5" w:themeFillTint="7F"/>
      </w:tcPr>
    </w:tblStylePr>
    <w:tblStylePr w:type="band1Horz">
      <w:tblPr/>
      <w:tcPr>
        <w:tcBorders>
          <w:insideH w:val="single" w:sz="6" w:space="0" w:color="99C7EB" w:themeColor="accent5"/>
          <w:insideV w:val="single" w:sz="6" w:space="0" w:color="99C7EB" w:themeColor="accent5"/>
        </w:tcBorders>
        <w:shd w:val="clear" w:color="auto" w:fill="CCE2F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A6A1B5" w:themeColor="accent6"/>
        <w:left w:val="single" w:sz="8" w:space="0" w:color="A6A1B5" w:themeColor="accent6"/>
        <w:bottom w:val="single" w:sz="8" w:space="0" w:color="A6A1B5" w:themeColor="accent6"/>
        <w:right w:val="single" w:sz="8" w:space="0" w:color="A6A1B5" w:themeColor="accent6"/>
        <w:insideH w:val="single" w:sz="8" w:space="0" w:color="A6A1B5" w:themeColor="accent6"/>
        <w:insideV w:val="single" w:sz="8" w:space="0" w:color="A6A1B5" w:themeColor="accent6"/>
      </w:tblBorders>
    </w:tblPr>
    <w:tcPr>
      <w:shd w:val="clear" w:color="auto" w:fill="E8E7EC" w:themeFill="accent6" w:themeFillTint="3F"/>
    </w:tcPr>
    <w:tblStylePr w:type="firstRow">
      <w:rPr>
        <w:b/>
        <w:bCs/>
        <w:color w:val="363534" w:themeColor="text1"/>
      </w:rPr>
      <w:tblPr/>
      <w:tcPr>
        <w:shd w:val="clear" w:color="auto" w:fill="F6F5F7"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DECF0" w:themeFill="accent6" w:themeFillTint="33"/>
      </w:tcPr>
    </w:tblStylePr>
    <w:tblStylePr w:type="band1Vert">
      <w:tblPr/>
      <w:tcPr>
        <w:shd w:val="clear" w:color="auto" w:fill="D2D0DA" w:themeFill="accent6" w:themeFillTint="7F"/>
      </w:tcPr>
    </w:tblStylePr>
    <w:tblStylePr w:type="band1Horz">
      <w:tblPr/>
      <w:tcPr>
        <w:tcBorders>
          <w:insideH w:val="single" w:sz="6" w:space="0" w:color="A6A1B5" w:themeColor="accent6"/>
          <w:insideV w:val="single" w:sz="6" w:space="0" w:color="A6A1B5" w:themeColor="accent6"/>
        </w:tcBorders>
        <w:shd w:val="clear" w:color="auto" w:fill="D2D0D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1" w:themeFillTint="7F"/>
      </w:tcPr>
    </w:tblStylePr>
  </w:style>
  <w:style w:type="table" w:styleId="MediumGrid3-Accent2">
    <w:name w:val="Medium Grid 3 Accent 2"/>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2" w:themeFillTint="7F"/>
      </w:tcPr>
    </w:tblStylePr>
  </w:style>
  <w:style w:type="table" w:styleId="MediumGrid3-Accent3">
    <w:name w:val="Medium Grid 3 Accent 3"/>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3" w:themeFillTint="7F"/>
      </w:tcPr>
    </w:tblStylePr>
  </w:style>
  <w:style w:type="table" w:styleId="MediumGrid3-Accent4">
    <w:name w:val="Medium Grid 3 Accent 4"/>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4" w:themeFillTint="7F"/>
      </w:tcPr>
    </w:tblStylePr>
  </w:style>
  <w:style w:type="table" w:styleId="MediumGrid3-Accent5">
    <w:name w:val="Medium Grid 3 Accent 5"/>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7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7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7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7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2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2F5" w:themeFill="accent5" w:themeFillTint="7F"/>
      </w:tcPr>
    </w:tblStylePr>
  </w:style>
  <w:style w:type="table" w:styleId="MediumGrid3-Accent6">
    <w:name w:val="Medium Grid 3 Accent 6"/>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7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A1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A1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1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1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0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0DA" w:themeFill="accent6" w:themeFillTint="7F"/>
      </w:tcPr>
    </w:tblStylePr>
  </w:style>
  <w:style w:type="table" w:styleId="MediumList1">
    <w:name w:val="Medium List 1"/>
    <w:basedOn w:val="TableNormal"/>
    <w:uiPriority w:val="65"/>
    <w:semiHidden/>
    <w:rsid w:val="0021343A"/>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72CE"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1343A"/>
    <w:pPr>
      <w:spacing w:line="240" w:lineRule="auto"/>
    </w:pPr>
    <w:tblPr>
      <w:tblStyleRowBandSize w:val="1"/>
      <w:tblStyleColBandSize w:val="1"/>
      <w:tblBorders>
        <w:top w:val="single" w:sz="8" w:space="0" w:color="00B2A9" w:themeColor="accent1"/>
        <w:bottom w:val="single" w:sz="8" w:space="0" w:color="00B2A9" w:themeColor="accent1"/>
      </w:tblBorders>
    </w:tblPr>
    <w:tblStylePr w:type="firstRow">
      <w:rPr>
        <w:rFonts w:asciiTheme="majorHAnsi" w:eastAsiaTheme="majorEastAsia" w:hAnsiTheme="majorHAnsi" w:cstheme="majorBidi"/>
      </w:rPr>
      <w:tblPr/>
      <w:tcPr>
        <w:tcBorders>
          <w:top w:val="nil"/>
          <w:bottom w:val="single" w:sz="8" w:space="0" w:color="00B2A9" w:themeColor="accent1"/>
        </w:tcBorders>
      </w:tcPr>
    </w:tblStylePr>
    <w:tblStylePr w:type="lastRow">
      <w:rPr>
        <w:b/>
        <w:bCs/>
        <w:color w:val="0072CE" w:themeColor="text2"/>
      </w:rPr>
      <w:tblPr/>
      <w:tcPr>
        <w:tcBorders>
          <w:top w:val="single" w:sz="8" w:space="0" w:color="00B2A9" w:themeColor="accent1"/>
          <w:bottom w:val="single" w:sz="8" w:space="0" w:color="00B2A9" w:themeColor="accent1"/>
        </w:tcBorders>
      </w:tcPr>
    </w:tblStylePr>
    <w:tblStylePr w:type="firstCol">
      <w:rPr>
        <w:b/>
        <w:bCs/>
      </w:rPr>
    </w:tblStylePr>
    <w:tblStylePr w:type="lastCol">
      <w:rPr>
        <w:b/>
        <w:bCs/>
      </w:rPr>
      <w:tblPr/>
      <w:tcPr>
        <w:tcBorders>
          <w:top w:val="single" w:sz="8" w:space="0" w:color="00B2A9" w:themeColor="accent1"/>
          <w:bottom w:val="single" w:sz="8" w:space="0" w:color="00B2A9" w:themeColor="accent1"/>
        </w:tcBorders>
      </w:tcPr>
    </w:tblStylePr>
    <w:tblStylePr w:type="band1Vert">
      <w:tblPr/>
      <w:tcPr>
        <w:shd w:val="clear" w:color="auto" w:fill="ACFFFA" w:themeFill="accent1" w:themeFillTint="3F"/>
      </w:tcPr>
    </w:tblStylePr>
    <w:tblStylePr w:type="band1Horz">
      <w:tblPr/>
      <w:tcPr>
        <w:shd w:val="clear" w:color="auto" w:fill="ACFFFA" w:themeFill="accent1" w:themeFillTint="3F"/>
      </w:tcPr>
    </w:tblStylePr>
  </w:style>
  <w:style w:type="table" w:styleId="MediumList1-Accent2">
    <w:name w:val="Medium List 1 Accent 2"/>
    <w:basedOn w:val="TableNormal"/>
    <w:uiPriority w:val="65"/>
    <w:semiHidden/>
    <w:rsid w:val="0021343A"/>
    <w:pPr>
      <w:spacing w:line="240" w:lineRule="auto"/>
    </w:pPr>
    <w:tblPr>
      <w:tblStyleRowBandSize w:val="1"/>
      <w:tblStyleColBandSize w:val="1"/>
      <w:tblBorders>
        <w:top w:val="single" w:sz="8" w:space="0" w:color="0072CE" w:themeColor="accent2"/>
        <w:bottom w:val="single" w:sz="8" w:space="0" w:color="0072CE" w:themeColor="accent2"/>
      </w:tblBorders>
    </w:tblPr>
    <w:tblStylePr w:type="firstRow">
      <w:rPr>
        <w:rFonts w:asciiTheme="majorHAnsi" w:eastAsiaTheme="majorEastAsia" w:hAnsiTheme="majorHAnsi" w:cstheme="majorBidi"/>
      </w:rPr>
      <w:tblPr/>
      <w:tcPr>
        <w:tcBorders>
          <w:top w:val="nil"/>
          <w:bottom w:val="single" w:sz="8" w:space="0" w:color="0072CE" w:themeColor="accent2"/>
        </w:tcBorders>
      </w:tcPr>
    </w:tblStylePr>
    <w:tblStylePr w:type="lastRow">
      <w:rPr>
        <w:b/>
        <w:bCs/>
        <w:color w:val="0072CE" w:themeColor="text2"/>
      </w:rPr>
      <w:tblPr/>
      <w:tcPr>
        <w:tcBorders>
          <w:top w:val="single" w:sz="8" w:space="0" w:color="0072CE" w:themeColor="accent2"/>
          <w:bottom w:val="single" w:sz="8" w:space="0" w:color="0072CE" w:themeColor="accent2"/>
        </w:tcBorders>
      </w:tcPr>
    </w:tblStylePr>
    <w:tblStylePr w:type="firstCol">
      <w:rPr>
        <w:b/>
        <w:bCs/>
      </w:rPr>
    </w:tblStylePr>
    <w:tblStylePr w:type="lastCol">
      <w:rPr>
        <w:b/>
        <w:bCs/>
      </w:rPr>
      <w:tblPr/>
      <w:tcPr>
        <w:tcBorders>
          <w:top w:val="single" w:sz="8" w:space="0" w:color="0072CE" w:themeColor="accent2"/>
          <w:bottom w:val="single" w:sz="8" w:space="0" w:color="0072CE" w:themeColor="accent2"/>
        </w:tcBorders>
      </w:tcPr>
    </w:tblStylePr>
    <w:tblStylePr w:type="band1Vert">
      <w:tblPr/>
      <w:tcPr>
        <w:shd w:val="clear" w:color="auto" w:fill="B3DDFF" w:themeFill="accent2" w:themeFillTint="3F"/>
      </w:tcPr>
    </w:tblStylePr>
    <w:tblStylePr w:type="band1Horz">
      <w:tblPr/>
      <w:tcPr>
        <w:shd w:val="clear" w:color="auto" w:fill="B3DDFF" w:themeFill="accent2" w:themeFillTint="3F"/>
      </w:tcPr>
    </w:tblStylePr>
  </w:style>
  <w:style w:type="table" w:styleId="MediumList1-Accent3">
    <w:name w:val="Medium List 1 Accent 3"/>
    <w:basedOn w:val="TableNormal"/>
    <w:uiPriority w:val="65"/>
    <w:semiHidden/>
    <w:rsid w:val="0021343A"/>
    <w:pPr>
      <w:spacing w:line="240" w:lineRule="auto"/>
    </w:pPr>
    <w:tblPr>
      <w:tblStyleRowBandSize w:val="1"/>
      <w:tblStyleColBandSize w:val="1"/>
      <w:tblBorders>
        <w:top w:val="single" w:sz="8" w:space="0" w:color="201547" w:themeColor="accent3"/>
        <w:bottom w:val="single" w:sz="8" w:space="0" w:color="201547" w:themeColor="accent3"/>
      </w:tblBorders>
    </w:tblPr>
    <w:tblStylePr w:type="firstRow">
      <w:rPr>
        <w:rFonts w:asciiTheme="majorHAnsi" w:eastAsiaTheme="majorEastAsia" w:hAnsiTheme="majorHAnsi" w:cstheme="majorBidi"/>
      </w:rPr>
      <w:tblPr/>
      <w:tcPr>
        <w:tcBorders>
          <w:top w:val="nil"/>
          <w:bottom w:val="single" w:sz="8" w:space="0" w:color="201547" w:themeColor="accent3"/>
        </w:tcBorders>
      </w:tcPr>
    </w:tblStylePr>
    <w:tblStylePr w:type="lastRow">
      <w:rPr>
        <w:b/>
        <w:bCs/>
        <w:color w:val="0072CE" w:themeColor="text2"/>
      </w:rPr>
      <w:tblPr/>
      <w:tcPr>
        <w:tcBorders>
          <w:top w:val="single" w:sz="8" w:space="0" w:color="201547" w:themeColor="accent3"/>
          <w:bottom w:val="single" w:sz="8" w:space="0" w:color="201547" w:themeColor="accent3"/>
        </w:tcBorders>
      </w:tcPr>
    </w:tblStylePr>
    <w:tblStylePr w:type="firstCol">
      <w:rPr>
        <w:b/>
        <w:bCs/>
      </w:rPr>
    </w:tblStylePr>
    <w:tblStylePr w:type="lastCol">
      <w:rPr>
        <w:b/>
        <w:bCs/>
      </w:rPr>
      <w:tblPr/>
      <w:tcPr>
        <w:tcBorders>
          <w:top w:val="single" w:sz="8" w:space="0" w:color="201547" w:themeColor="accent3"/>
          <w:bottom w:val="single" w:sz="8" w:space="0" w:color="201547" w:themeColor="accent3"/>
        </w:tcBorders>
      </w:tcPr>
    </w:tblStylePr>
    <w:tblStylePr w:type="band1Vert">
      <w:tblPr/>
      <w:tcPr>
        <w:shd w:val="clear" w:color="auto" w:fill="BBAFE7" w:themeFill="accent3" w:themeFillTint="3F"/>
      </w:tcPr>
    </w:tblStylePr>
    <w:tblStylePr w:type="band1Horz">
      <w:tblPr/>
      <w:tcPr>
        <w:shd w:val="clear" w:color="auto" w:fill="BBAFE7" w:themeFill="accent3" w:themeFillTint="3F"/>
      </w:tcPr>
    </w:tblStylePr>
  </w:style>
  <w:style w:type="table" w:styleId="MediumList1-Accent4">
    <w:name w:val="Medium List 1 Accent 4"/>
    <w:basedOn w:val="TableNormal"/>
    <w:uiPriority w:val="65"/>
    <w:semiHidden/>
    <w:rsid w:val="0021343A"/>
    <w:pPr>
      <w:spacing w:line="240" w:lineRule="auto"/>
    </w:pPr>
    <w:tblPr>
      <w:tblStyleRowBandSize w:val="1"/>
      <w:tblStyleColBandSize w:val="1"/>
      <w:tblBorders>
        <w:top w:val="single" w:sz="8" w:space="0" w:color="99E0DD" w:themeColor="accent4"/>
        <w:bottom w:val="single" w:sz="8" w:space="0" w:color="99E0DD" w:themeColor="accent4"/>
      </w:tblBorders>
    </w:tblPr>
    <w:tblStylePr w:type="firstRow">
      <w:rPr>
        <w:rFonts w:asciiTheme="majorHAnsi" w:eastAsiaTheme="majorEastAsia" w:hAnsiTheme="majorHAnsi" w:cstheme="majorBidi"/>
      </w:rPr>
      <w:tblPr/>
      <w:tcPr>
        <w:tcBorders>
          <w:top w:val="nil"/>
          <w:bottom w:val="single" w:sz="8" w:space="0" w:color="99E0DD" w:themeColor="accent4"/>
        </w:tcBorders>
      </w:tcPr>
    </w:tblStylePr>
    <w:tblStylePr w:type="lastRow">
      <w:rPr>
        <w:b/>
        <w:bCs/>
        <w:color w:val="0072CE" w:themeColor="text2"/>
      </w:rPr>
      <w:tblPr/>
      <w:tcPr>
        <w:tcBorders>
          <w:top w:val="single" w:sz="8" w:space="0" w:color="99E0DD" w:themeColor="accent4"/>
          <w:bottom w:val="single" w:sz="8" w:space="0" w:color="99E0DD" w:themeColor="accent4"/>
        </w:tcBorders>
      </w:tcPr>
    </w:tblStylePr>
    <w:tblStylePr w:type="firstCol">
      <w:rPr>
        <w:b/>
        <w:bCs/>
      </w:rPr>
    </w:tblStylePr>
    <w:tblStylePr w:type="lastCol">
      <w:rPr>
        <w:b/>
        <w:bCs/>
      </w:rPr>
      <w:tblPr/>
      <w:tcPr>
        <w:tcBorders>
          <w:top w:val="single" w:sz="8" w:space="0" w:color="99E0DD" w:themeColor="accent4"/>
          <w:bottom w:val="single" w:sz="8" w:space="0" w:color="99E0DD" w:themeColor="accent4"/>
        </w:tcBorders>
      </w:tcPr>
    </w:tblStylePr>
    <w:tblStylePr w:type="band1Vert">
      <w:tblPr/>
      <w:tcPr>
        <w:shd w:val="clear" w:color="auto" w:fill="E5F7F6" w:themeFill="accent4" w:themeFillTint="3F"/>
      </w:tcPr>
    </w:tblStylePr>
    <w:tblStylePr w:type="band1Horz">
      <w:tblPr/>
      <w:tcPr>
        <w:shd w:val="clear" w:color="auto" w:fill="E5F7F6" w:themeFill="accent4" w:themeFillTint="3F"/>
      </w:tcPr>
    </w:tblStylePr>
  </w:style>
  <w:style w:type="table" w:styleId="MediumList1-Accent5">
    <w:name w:val="Medium List 1 Accent 5"/>
    <w:basedOn w:val="TableNormal"/>
    <w:uiPriority w:val="65"/>
    <w:semiHidden/>
    <w:rsid w:val="0021343A"/>
    <w:pPr>
      <w:spacing w:line="240" w:lineRule="auto"/>
    </w:pPr>
    <w:tblPr>
      <w:tblStyleRowBandSize w:val="1"/>
      <w:tblStyleColBandSize w:val="1"/>
      <w:tblBorders>
        <w:top w:val="single" w:sz="8" w:space="0" w:color="99C7EB" w:themeColor="accent5"/>
        <w:bottom w:val="single" w:sz="8" w:space="0" w:color="99C7EB" w:themeColor="accent5"/>
      </w:tblBorders>
    </w:tblPr>
    <w:tblStylePr w:type="firstRow">
      <w:rPr>
        <w:rFonts w:asciiTheme="majorHAnsi" w:eastAsiaTheme="majorEastAsia" w:hAnsiTheme="majorHAnsi" w:cstheme="majorBidi"/>
      </w:rPr>
      <w:tblPr/>
      <w:tcPr>
        <w:tcBorders>
          <w:top w:val="nil"/>
          <w:bottom w:val="single" w:sz="8" w:space="0" w:color="99C7EB" w:themeColor="accent5"/>
        </w:tcBorders>
      </w:tcPr>
    </w:tblStylePr>
    <w:tblStylePr w:type="lastRow">
      <w:rPr>
        <w:b/>
        <w:bCs/>
        <w:color w:val="0072CE" w:themeColor="text2"/>
      </w:rPr>
      <w:tblPr/>
      <w:tcPr>
        <w:tcBorders>
          <w:top w:val="single" w:sz="8" w:space="0" w:color="99C7EB" w:themeColor="accent5"/>
          <w:bottom w:val="single" w:sz="8" w:space="0" w:color="99C7EB" w:themeColor="accent5"/>
        </w:tcBorders>
      </w:tcPr>
    </w:tblStylePr>
    <w:tblStylePr w:type="firstCol">
      <w:rPr>
        <w:b/>
        <w:bCs/>
      </w:rPr>
    </w:tblStylePr>
    <w:tblStylePr w:type="lastCol">
      <w:rPr>
        <w:b/>
        <w:bCs/>
      </w:rPr>
      <w:tblPr/>
      <w:tcPr>
        <w:tcBorders>
          <w:top w:val="single" w:sz="8" w:space="0" w:color="99C7EB" w:themeColor="accent5"/>
          <w:bottom w:val="single" w:sz="8" w:space="0" w:color="99C7EB" w:themeColor="accent5"/>
        </w:tcBorders>
      </w:tcPr>
    </w:tblStylePr>
    <w:tblStylePr w:type="band1Vert">
      <w:tblPr/>
      <w:tcPr>
        <w:shd w:val="clear" w:color="auto" w:fill="E5F1FA" w:themeFill="accent5" w:themeFillTint="3F"/>
      </w:tcPr>
    </w:tblStylePr>
    <w:tblStylePr w:type="band1Horz">
      <w:tblPr/>
      <w:tcPr>
        <w:shd w:val="clear" w:color="auto" w:fill="E5F1FA" w:themeFill="accent5" w:themeFillTint="3F"/>
      </w:tcPr>
    </w:tblStylePr>
  </w:style>
  <w:style w:type="table" w:styleId="MediumList1-Accent6">
    <w:name w:val="Medium List 1 Accent 6"/>
    <w:basedOn w:val="TableNormal"/>
    <w:uiPriority w:val="65"/>
    <w:semiHidden/>
    <w:rsid w:val="0021343A"/>
    <w:pPr>
      <w:spacing w:line="240" w:lineRule="auto"/>
    </w:pPr>
    <w:tblPr>
      <w:tblStyleRowBandSize w:val="1"/>
      <w:tblStyleColBandSize w:val="1"/>
      <w:tblBorders>
        <w:top w:val="single" w:sz="8" w:space="0" w:color="A6A1B5" w:themeColor="accent6"/>
        <w:bottom w:val="single" w:sz="8" w:space="0" w:color="A6A1B5" w:themeColor="accent6"/>
      </w:tblBorders>
    </w:tblPr>
    <w:tblStylePr w:type="firstRow">
      <w:rPr>
        <w:rFonts w:asciiTheme="majorHAnsi" w:eastAsiaTheme="majorEastAsia" w:hAnsiTheme="majorHAnsi" w:cstheme="majorBidi"/>
      </w:rPr>
      <w:tblPr/>
      <w:tcPr>
        <w:tcBorders>
          <w:top w:val="nil"/>
          <w:bottom w:val="single" w:sz="8" w:space="0" w:color="A6A1B5" w:themeColor="accent6"/>
        </w:tcBorders>
      </w:tcPr>
    </w:tblStylePr>
    <w:tblStylePr w:type="lastRow">
      <w:rPr>
        <w:b/>
        <w:bCs/>
        <w:color w:val="0072CE" w:themeColor="text2"/>
      </w:rPr>
      <w:tblPr/>
      <w:tcPr>
        <w:tcBorders>
          <w:top w:val="single" w:sz="8" w:space="0" w:color="A6A1B5" w:themeColor="accent6"/>
          <w:bottom w:val="single" w:sz="8" w:space="0" w:color="A6A1B5" w:themeColor="accent6"/>
        </w:tcBorders>
      </w:tcPr>
    </w:tblStylePr>
    <w:tblStylePr w:type="firstCol">
      <w:rPr>
        <w:b/>
        <w:bCs/>
      </w:rPr>
    </w:tblStylePr>
    <w:tblStylePr w:type="lastCol">
      <w:rPr>
        <w:b/>
        <w:bCs/>
      </w:rPr>
      <w:tblPr/>
      <w:tcPr>
        <w:tcBorders>
          <w:top w:val="single" w:sz="8" w:space="0" w:color="A6A1B5" w:themeColor="accent6"/>
          <w:bottom w:val="single" w:sz="8" w:space="0" w:color="A6A1B5" w:themeColor="accent6"/>
        </w:tcBorders>
      </w:tcPr>
    </w:tblStylePr>
    <w:tblStylePr w:type="band1Vert">
      <w:tblPr/>
      <w:tcPr>
        <w:shd w:val="clear" w:color="auto" w:fill="E8E7EC" w:themeFill="accent6" w:themeFillTint="3F"/>
      </w:tcPr>
    </w:tblStylePr>
    <w:tblStylePr w:type="band1Horz">
      <w:tblPr/>
      <w:tcPr>
        <w:shd w:val="clear" w:color="auto" w:fill="E8E7EC" w:themeFill="accent6" w:themeFillTint="3F"/>
      </w:tcPr>
    </w:tblStylePr>
  </w:style>
  <w:style w:type="table" w:styleId="MediumList2">
    <w:name w:val="Medium List 2"/>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tblBorders>
    </w:tblPr>
    <w:tblStylePr w:type="firstRow">
      <w:rPr>
        <w:sz w:val="24"/>
        <w:szCs w:val="24"/>
      </w:rPr>
      <w:tblPr/>
      <w:tcPr>
        <w:tcBorders>
          <w:top w:val="nil"/>
          <w:left w:val="nil"/>
          <w:bottom w:val="single" w:sz="24" w:space="0" w:color="00B2A9" w:themeColor="accent1"/>
          <w:right w:val="nil"/>
          <w:insideH w:val="nil"/>
          <w:insideV w:val="nil"/>
        </w:tcBorders>
        <w:shd w:val="clear" w:color="auto" w:fill="FFFFFF" w:themeFill="background1"/>
      </w:tcPr>
    </w:tblStylePr>
    <w:tblStylePr w:type="lastRow">
      <w:tblPr/>
      <w:tcPr>
        <w:tcBorders>
          <w:top w:val="single" w:sz="8" w:space="0" w:color="00B2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1"/>
          <w:insideH w:val="nil"/>
          <w:insideV w:val="nil"/>
        </w:tcBorders>
        <w:shd w:val="clear" w:color="auto" w:fill="FFFFFF" w:themeFill="background1"/>
      </w:tcPr>
    </w:tblStylePr>
    <w:tblStylePr w:type="lastCol">
      <w:tblPr/>
      <w:tcPr>
        <w:tcBorders>
          <w:top w:val="nil"/>
          <w:left w:val="single" w:sz="8" w:space="0" w:color="00B2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1" w:themeFillTint="3F"/>
      </w:tcPr>
    </w:tblStylePr>
    <w:tblStylePr w:type="band1Horz">
      <w:tblPr/>
      <w:tcPr>
        <w:tcBorders>
          <w:top w:val="nil"/>
          <w:bottom w:val="nil"/>
          <w:insideH w:val="nil"/>
          <w:insideV w:val="nil"/>
        </w:tcBorders>
        <w:shd w:val="clear" w:color="auto" w:fill="ACFF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0072CE" w:themeColor="accent2"/>
        <w:left w:val="single" w:sz="8" w:space="0" w:color="0072CE" w:themeColor="accent2"/>
        <w:bottom w:val="single" w:sz="8" w:space="0" w:color="0072CE" w:themeColor="accent2"/>
        <w:right w:val="single" w:sz="8" w:space="0" w:color="0072CE" w:themeColor="accent2"/>
      </w:tblBorders>
    </w:tblPr>
    <w:tblStylePr w:type="firstRow">
      <w:rPr>
        <w:sz w:val="24"/>
        <w:szCs w:val="24"/>
      </w:rPr>
      <w:tblPr/>
      <w:tcPr>
        <w:tcBorders>
          <w:top w:val="nil"/>
          <w:left w:val="nil"/>
          <w:bottom w:val="single" w:sz="24" w:space="0" w:color="0072CE" w:themeColor="accent2"/>
          <w:right w:val="nil"/>
          <w:insideH w:val="nil"/>
          <w:insideV w:val="nil"/>
        </w:tcBorders>
        <w:shd w:val="clear" w:color="auto" w:fill="FFFFFF" w:themeFill="background1"/>
      </w:tcPr>
    </w:tblStylePr>
    <w:tblStylePr w:type="lastRow">
      <w:tblPr/>
      <w:tcPr>
        <w:tcBorders>
          <w:top w:val="single" w:sz="8" w:space="0" w:color="0072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2"/>
          <w:insideH w:val="nil"/>
          <w:insideV w:val="nil"/>
        </w:tcBorders>
        <w:shd w:val="clear" w:color="auto" w:fill="FFFFFF" w:themeFill="background1"/>
      </w:tcPr>
    </w:tblStylePr>
    <w:tblStylePr w:type="lastCol">
      <w:tblPr/>
      <w:tcPr>
        <w:tcBorders>
          <w:top w:val="nil"/>
          <w:left w:val="single" w:sz="8" w:space="0" w:color="0072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2" w:themeFillTint="3F"/>
      </w:tcPr>
    </w:tblStylePr>
    <w:tblStylePr w:type="band1Horz">
      <w:tblPr/>
      <w:tcPr>
        <w:tcBorders>
          <w:top w:val="nil"/>
          <w:bottom w:val="nil"/>
          <w:insideH w:val="nil"/>
          <w:insideV w:val="nil"/>
        </w:tcBorders>
        <w:shd w:val="clear" w:color="auto" w:fill="B3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3"/>
        <w:left w:val="single" w:sz="8" w:space="0" w:color="201547" w:themeColor="accent3"/>
        <w:bottom w:val="single" w:sz="8" w:space="0" w:color="201547" w:themeColor="accent3"/>
        <w:right w:val="single" w:sz="8" w:space="0" w:color="201547" w:themeColor="accent3"/>
      </w:tblBorders>
    </w:tblPr>
    <w:tblStylePr w:type="firstRow">
      <w:rPr>
        <w:sz w:val="24"/>
        <w:szCs w:val="24"/>
      </w:rPr>
      <w:tblPr/>
      <w:tcPr>
        <w:tcBorders>
          <w:top w:val="nil"/>
          <w:left w:val="nil"/>
          <w:bottom w:val="single" w:sz="24" w:space="0" w:color="201547" w:themeColor="accent3"/>
          <w:right w:val="nil"/>
          <w:insideH w:val="nil"/>
          <w:insideV w:val="nil"/>
        </w:tcBorders>
        <w:shd w:val="clear" w:color="auto" w:fill="FFFFFF" w:themeFill="background1"/>
      </w:tcPr>
    </w:tblStylePr>
    <w:tblStylePr w:type="lastRow">
      <w:tblPr/>
      <w:tcPr>
        <w:tcBorders>
          <w:top w:val="single" w:sz="8" w:space="0" w:color="20154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3"/>
          <w:insideH w:val="nil"/>
          <w:insideV w:val="nil"/>
        </w:tcBorders>
        <w:shd w:val="clear" w:color="auto" w:fill="FFFFFF" w:themeFill="background1"/>
      </w:tcPr>
    </w:tblStylePr>
    <w:tblStylePr w:type="lastCol">
      <w:tblPr/>
      <w:tcPr>
        <w:tcBorders>
          <w:top w:val="nil"/>
          <w:left w:val="single" w:sz="8" w:space="0" w:color="20154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3" w:themeFillTint="3F"/>
      </w:tcPr>
    </w:tblStylePr>
    <w:tblStylePr w:type="band1Horz">
      <w:tblPr/>
      <w:tcPr>
        <w:tcBorders>
          <w:top w:val="nil"/>
          <w:bottom w:val="nil"/>
          <w:insideH w:val="nil"/>
          <w:insideV w:val="nil"/>
        </w:tcBorders>
        <w:shd w:val="clear" w:color="auto" w:fill="BBAF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4"/>
        <w:left w:val="single" w:sz="8" w:space="0" w:color="99E0DD" w:themeColor="accent4"/>
        <w:bottom w:val="single" w:sz="8" w:space="0" w:color="99E0DD" w:themeColor="accent4"/>
        <w:right w:val="single" w:sz="8" w:space="0" w:color="99E0DD" w:themeColor="accent4"/>
      </w:tblBorders>
    </w:tblPr>
    <w:tblStylePr w:type="firstRow">
      <w:rPr>
        <w:sz w:val="24"/>
        <w:szCs w:val="24"/>
      </w:rPr>
      <w:tblPr/>
      <w:tcPr>
        <w:tcBorders>
          <w:top w:val="nil"/>
          <w:left w:val="nil"/>
          <w:bottom w:val="single" w:sz="24" w:space="0" w:color="99E0DD" w:themeColor="accent4"/>
          <w:right w:val="nil"/>
          <w:insideH w:val="nil"/>
          <w:insideV w:val="nil"/>
        </w:tcBorders>
        <w:shd w:val="clear" w:color="auto" w:fill="FFFFFF" w:themeFill="background1"/>
      </w:tcPr>
    </w:tblStylePr>
    <w:tblStylePr w:type="lastRow">
      <w:tblPr/>
      <w:tcPr>
        <w:tcBorders>
          <w:top w:val="single" w:sz="8" w:space="0" w:color="99E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4"/>
          <w:insideH w:val="nil"/>
          <w:insideV w:val="nil"/>
        </w:tcBorders>
        <w:shd w:val="clear" w:color="auto" w:fill="FFFFFF" w:themeFill="background1"/>
      </w:tcPr>
    </w:tblStylePr>
    <w:tblStylePr w:type="lastCol">
      <w:tblPr/>
      <w:tcPr>
        <w:tcBorders>
          <w:top w:val="nil"/>
          <w:left w:val="single" w:sz="8" w:space="0" w:color="99E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4" w:themeFillTint="3F"/>
      </w:tcPr>
    </w:tblStylePr>
    <w:tblStylePr w:type="band1Horz">
      <w:tblPr/>
      <w:tcPr>
        <w:tcBorders>
          <w:top w:val="nil"/>
          <w:bottom w:val="nil"/>
          <w:insideH w:val="nil"/>
          <w:insideV w:val="nil"/>
        </w:tcBorders>
        <w:shd w:val="clear" w:color="auto" w:fill="E5F7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9C7EB" w:themeColor="accent5"/>
        <w:left w:val="single" w:sz="8" w:space="0" w:color="99C7EB" w:themeColor="accent5"/>
        <w:bottom w:val="single" w:sz="8" w:space="0" w:color="99C7EB" w:themeColor="accent5"/>
        <w:right w:val="single" w:sz="8" w:space="0" w:color="99C7EB" w:themeColor="accent5"/>
      </w:tblBorders>
    </w:tblPr>
    <w:tblStylePr w:type="firstRow">
      <w:rPr>
        <w:sz w:val="24"/>
        <w:szCs w:val="24"/>
      </w:rPr>
      <w:tblPr/>
      <w:tcPr>
        <w:tcBorders>
          <w:top w:val="nil"/>
          <w:left w:val="nil"/>
          <w:bottom w:val="single" w:sz="24" w:space="0" w:color="99C7EB" w:themeColor="accent5"/>
          <w:right w:val="nil"/>
          <w:insideH w:val="nil"/>
          <w:insideV w:val="nil"/>
        </w:tcBorders>
        <w:shd w:val="clear" w:color="auto" w:fill="FFFFFF" w:themeFill="background1"/>
      </w:tcPr>
    </w:tblStylePr>
    <w:tblStylePr w:type="lastRow">
      <w:tblPr/>
      <w:tcPr>
        <w:tcBorders>
          <w:top w:val="single" w:sz="8" w:space="0" w:color="99C7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7EB" w:themeColor="accent5"/>
          <w:insideH w:val="nil"/>
          <w:insideV w:val="nil"/>
        </w:tcBorders>
        <w:shd w:val="clear" w:color="auto" w:fill="FFFFFF" w:themeFill="background1"/>
      </w:tcPr>
    </w:tblStylePr>
    <w:tblStylePr w:type="lastCol">
      <w:tblPr/>
      <w:tcPr>
        <w:tcBorders>
          <w:top w:val="nil"/>
          <w:left w:val="single" w:sz="8" w:space="0" w:color="99C7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FA" w:themeFill="accent5" w:themeFillTint="3F"/>
      </w:tcPr>
    </w:tblStylePr>
    <w:tblStylePr w:type="band1Horz">
      <w:tblPr/>
      <w:tcPr>
        <w:tcBorders>
          <w:top w:val="nil"/>
          <w:bottom w:val="nil"/>
          <w:insideH w:val="nil"/>
          <w:insideV w:val="nil"/>
        </w:tcBorders>
        <w:shd w:val="clear" w:color="auto" w:fill="E5F1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A6A1B5" w:themeColor="accent6"/>
        <w:left w:val="single" w:sz="8" w:space="0" w:color="A6A1B5" w:themeColor="accent6"/>
        <w:bottom w:val="single" w:sz="8" w:space="0" w:color="A6A1B5" w:themeColor="accent6"/>
        <w:right w:val="single" w:sz="8" w:space="0" w:color="A6A1B5" w:themeColor="accent6"/>
      </w:tblBorders>
    </w:tblPr>
    <w:tblStylePr w:type="firstRow">
      <w:rPr>
        <w:sz w:val="24"/>
        <w:szCs w:val="24"/>
      </w:rPr>
      <w:tblPr/>
      <w:tcPr>
        <w:tcBorders>
          <w:top w:val="nil"/>
          <w:left w:val="nil"/>
          <w:bottom w:val="single" w:sz="24" w:space="0" w:color="A6A1B5" w:themeColor="accent6"/>
          <w:right w:val="nil"/>
          <w:insideH w:val="nil"/>
          <w:insideV w:val="nil"/>
        </w:tcBorders>
        <w:shd w:val="clear" w:color="auto" w:fill="FFFFFF" w:themeFill="background1"/>
      </w:tcPr>
    </w:tblStylePr>
    <w:tblStylePr w:type="lastRow">
      <w:tblPr/>
      <w:tcPr>
        <w:tcBorders>
          <w:top w:val="single" w:sz="8" w:space="0" w:color="A6A1B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1B5" w:themeColor="accent6"/>
          <w:insideH w:val="nil"/>
          <w:insideV w:val="nil"/>
        </w:tcBorders>
        <w:shd w:val="clear" w:color="auto" w:fill="FFFFFF" w:themeFill="background1"/>
      </w:tcPr>
    </w:tblStylePr>
    <w:tblStylePr w:type="lastCol">
      <w:tblPr/>
      <w:tcPr>
        <w:tcBorders>
          <w:top w:val="nil"/>
          <w:left w:val="single" w:sz="8" w:space="0" w:color="A6A1B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7EC" w:themeFill="accent6" w:themeFillTint="3F"/>
      </w:tcPr>
    </w:tblStylePr>
    <w:tblStylePr w:type="band1Horz">
      <w:tblPr/>
      <w:tcPr>
        <w:tcBorders>
          <w:top w:val="nil"/>
          <w:bottom w:val="nil"/>
          <w:insideH w:val="nil"/>
          <w:insideV w:val="nil"/>
        </w:tcBorders>
        <w:shd w:val="clear" w:color="auto" w:fill="E8E7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1343A"/>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1343A"/>
    <w:pPr>
      <w:spacing w:line="240" w:lineRule="auto"/>
    </w:pPr>
    <w:tblPr>
      <w:tblStyleRowBandSize w:val="1"/>
      <w:tblStyleColBandSize w:val="1"/>
      <w:tblBorders>
        <w:top w:val="single" w:sz="8" w:space="0" w:color="06FFF2" w:themeColor="accent1" w:themeTint="BF"/>
        <w:left w:val="single" w:sz="8" w:space="0" w:color="06FFF2" w:themeColor="accent1" w:themeTint="BF"/>
        <w:bottom w:val="single" w:sz="8" w:space="0" w:color="06FFF2" w:themeColor="accent1" w:themeTint="BF"/>
        <w:right w:val="single" w:sz="8" w:space="0" w:color="06FFF2" w:themeColor="accent1" w:themeTint="BF"/>
        <w:insideH w:val="single" w:sz="8" w:space="0" w:color="06FFF2" w:themeColor="accent1" w:themeTint="BF"/>
      </w:tblBorders>
    </w:tblPr>
    <w:tblStylePr w:type="firstRow">
      <w:pPr>
        <w:spacing w:before="0" w:after="0" w:line="240" w:lineRule="auto"/>
      </w:pPr>
      <w:rPr>
        <w:b/>
        <w:bCs/>
        <w:color w:val="FFFFFF" w:themeColor="background1"/>
      </w:rPr>
      <w:tblPr/>
      <w:tcPr>
        <w:tcBorders>
          <w:top w:val="single" w:sz="8" w:space="0" w:color="06FFF2" w:themeColor="accent1" w:themeTint="BF"/>
          <w:left w:val="single" w:sz="8" w:space="0" w:color="06FFF2" w:themeColor="accent1" w:themeTint="BF"/>
          <w:bottom w:val="single" w:sz="8" w:space="0" w:color="06FFF2" w:themeColor="accent1" w:themeTint="BF"/>
          <w:right w:val="single" w:sz="8" w:space="0" w:color="06FFF2" w:themeColor="accent1" w:themeTint="BF"/>
          <w:insideH w:val="nil"/>
          <w:insideV w:val="nil"/>
        </w:tcBorders>
        <w:shd w:val="clear" w:color="auto" w:fill="00B2A9" w:themeFill="accent1"/>
      </w:tcPr>
    </w:tblStylePr>
    <w:tblStylePr w:type="lastRow">
      <w:pPr>
        <w:spacing w:before="0" w:after="0" w:line="240" w:lineRule="auto"/>
      </w:pPr>
      <w:rPr>
        <w:b/>
        <w:bCs/>
      </w:rPr>
      <w:tblPr/>
      <w:tcPr>
        <w:tcBorders>
          <w:top w:val="double" w:sz="6" w:space="0" w:color="06FFF2" w:themeColor="accent1" w:themeTint="BF"/>
          <w:left w:val="single" w:sz="8" w:space="0" w:color="06FFF2" w:themeColor="accent1" w:themeTint="BF"/>
          <w:bottom w:val="single" w:sz="8" w:space="0" w:color="06FFF2" w:themeColor="accent1" w:themeTint="BF"/>
          <w:right w:val="single" w:sz="8" w:space="0" w:color="06FF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1" w:themeFillTint="3F"/>
      </w:tcPr>
    </w:tblStylePr>
    <w:tblStylePr w:type="band1Horz">
      <w:tblPr/>
      <w:tcPr>
        <w:tcBorders>
          <w:insideH w:val="nil"/>
          <w:insideV w:val="nil"/>
        </w:tcBorders>
        <w:shd w:val="clear" w:color="auto" w:fill="ACFF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1343A"/>
    <w:pPr>
      <w:spacing w:line="240" w:lineRule="auto"/>
    </w:pPr>
    <w:tblPr>
      <w:tblStyleRowBandSize w:val="1"/>
      <w:tblStyleColBandSize w:val="1"/>
      <w:tblBorders>
        <w:top w:val="single" w:sz="8" w:space="0" w:color="1B99FF" w:themeColor="accent2" w:themeTint="BF"/>
        <w:left w:val="single" w:sz="8" w:space="0" w:color="1B99FF" w:themeColor="accent2" w:themeTint="BF"/>
        <w:bottom w:val="single" w:sz="8" w:space="0" w:color="1B99FF" w:themeColor="accent2" w:themeTint="BF"/>
        <w:right w:val="single" w:sz="8" w:space="0" w:color="1B99FF" w:themeColor="accent2" w:themeTint="BF"/>
        <w:insideH w:val="single" w:sz="8" w:space="0" w:color="1B99FF" w:themeColor="accent2" w:themeTint="BF"/>
      </w:tblBorders>
    </w:tblPr>
    <w:tblStylePr w:type="firstRow">
      <w:pPr>
        <w:spacing w:before="0" w:after="0" w:line="240" w:lineRule="auto"/>
      </w:pPr>
      <w:rPr>
        <w:b/>
        <w:bCs/>
        <w:color w:val="FFFFFF" w:themeColor="background1"/>
      </w:rPr>
      <w:tblPr/>
      <w:tcPr>
        <w:tcBorders>
          <w:top w:val="single" w:sz="8" w:space="0" w:color="1B99FF" w:themeColor="accent2" w:themeTint="BF"/>
          <w:left w:val="single" w:sz="8" w:space="0" w:color="1B99FF" w:themeColor="accent2" w:themeTint="BF"/>
          <w:bottom w:val="single" w:sz="8" w:space="0" w:color="1B99FF" w:themeColor="accent2" w:themeTint="BF"/>
          <w:right w:val="single" w:sz="8" w:space="0" w:color="1B99FF" w:themeColor="accent2" w:themeTint="BF"/>
          <w:insideH w:val="nil"/>
          <w:insideV w:val="nil"/>
        </w:tcBorders>
        <w:shd w:val="clear" w:color="auto" w:fill="0072CE" w:themeFill="accent2"/>
      </w:tcPr>
    </w:tblStylePr>
    <w:tblStylePr w:type="lastRow">
      <w:pPr>
        <w:spacing w:before="0" w:after="0" w:line="240" w:lineRule="auto"/>
      </w:pPr>
      <w:rPr>
        <w:b/>
        <w:bCs/>
      </w:rPr>
      <w:tblPr/>
      <w:tcPr>
        <w:tcBorders>
          <w:top w:val="double" w:sz="6" w:space="0" w:color="1B99FF" w:themeColor="accent2" w:themeTint="BF"/>
          <w:left w:val="single" w:sz="8" w:space="0" w:color="1B99FF" w:themeColor="accent2" w:themeTint="BF"/>
          <w:bottom w:val="single" w:sz="8" w:space="0" w:color="1B99FF" w:themeColor="accent2" w:themeTint="BF"/>
          <w:right w:val="single" w:sz="8" w:space="0" w:color="1B9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2" w:themeFillTint="3F"/>
      </w:tcPr>
    </w:tblStylePr>
    <w:tblStylePr w:type="band1Horz">
      <w:tblPr/>
      <w:tcPr>
        <w:tcBorders>
          <w:insideH w:val="nil"/>
          <w:insideV w:val="nil"/>
        </w:tcBorders>
        <w:shd w:val="clear" w:color="auto" w:fill="B3D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1343A"/>
    <w:pPr>
      <w:spacing w:line="240" w:lineRule="auto"/>
    </w:pPr>
    <w:tblPr>
      <w:tblStyleRowBandSize w:val="1"/>
      <w:tblStyleColBandSize w:val="1"/>
      <w:tblBorders>
        <w:top w:val="single" w:sz="8" w:space="0" w:color="442D97" w:themeColor="accent3" w:themeTint="BF"/>
        <w:left w:val="single" w:sz="8" w:space="0" w:color="442D97" w:themeColor="accent3" w:themeTint="BF"/>
        <w:bottom w:val="single" w:sz="8" w:space="0" w:color="442D97" w:themeColor="accent3" w:themeTint="BF"/>
        <w:right w:val="single" w:sz="8" w:space="0" w:color="442D97" w:themeColor="accent3" w:themeTint="BF"/>
        <w:insideH w:val="single" w:sz="8" w:space="0" w:color="442D97" w:themeColor="accent3" w:themeTint="BF"/>
      </w:tblBorders>
    </w:tblPr>
    <w:tblStylePr w:type="firstRow">
      <w:pPr>
        <w:spacing w:before="0" w:after="0" w:line="240" w:lineRule="auto"/>
      </w:pPr>
      <w:rPr>
        <w:b/>
        <w:bCs/>
        <w:color w:val="FFFFFF" w:themeColor="background1"/>
      </w:rPr>
      <w:tblPr/>
      <w:tcPr>
        <w:tcBorders>
          <w:top w:val="single" w:sz="8" w:space="0" w:color="442D97" w:themeColor="accent3" w:themeTint="BF"/>
          <w:left w:val="single" w:sz="8" w:space="0" w:color="442D97" w:themeColor="accent3" w:themeTint="BF"/>
          <w:bottom w:val="single" w:sz="8" w:space="0" w:color="442D97" w:themeColor="accent3" w:themeTint="BF"/>
          <w:right w:val="single" w:sz="8" w:space="0" w:color="442D97" w:themeColor="accent3" w:themeTint="BF"/>
          <w:insideH w:val="nil"/>
          <w:insideV w:val="nil"/>
        </w:tcBorders>
        <w:shd w:val="clear" w:color="auto" w:fill="201547" w:themeFill="accent3"/>
      </w:tcPr>
    </w:tblStylePr>
    <w:tblStylePr w:type="lastRow">
      <w:pPr>
        <w:spacing w:before="0" w:after="0" w:line="240" w:lineRule="auto"/>
      </w:pPr>
      <w:rPr>
        <w:b/>
        <w:bCs/>
      </w:rPr>
      <w:tblPr/>
      <w:tcPr>
        <w:tcBorders>
          <w:top w:val="double" w:sz="6" w:space="0" w:color="442D97" w:themeColor="accent3" w:themeTint="BF"/>
          <w:left w:val="single" w:sz="8" w:space="0" w:color="442D97" w:themeColor="accent3" w:themeTint="BF"/>
          <w:bottom w:val="single" w:sz="8" w:space="0" w:color="442D97" w:themeColor="accent3" w:themeTint="BF"/>
          <w:right w:val="single" w:sz="8" w:space="0" w:color="442D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3" w:themeFillTint="3F"/>
      </w:tcPr>
    </w:tblStylePr>
    <w:tblStylePr w:type="band1Horz">
      <w:tblPr/>
      <w:tcPr>
        <w:tcBorders>
          <w:insideH w:val="nil"/>
          <w:insideV w:val="nil"/>
        </w:tcBorders>
        <w:shd w:val="clear" w:color="auto" w:fill="BBAF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1343A"/>
    <w:pPr>
      <w:spacing w:line="240" w:lineRule="auto"/>
    </w:pPr>
    <w:tblPr>
      <w:tblStyleRowBandSize w:val="1"/>
      <w:tblStyleColBandSize w:val="1"/>
      <w:tblBorders>
        <w:top w:val="single" w:sz="8" w:space="0" w:color="B2E7E5" w:themeColor="accent4" w:themeTint="BF"/>
        <w:left w:val="single" w:sz="8" w:space="0" w:color="B2E7E5" w:themeColor="accent4" w:themeTint="BF"/>
        <w:bottom w:val="single" w:sz="8" w:space="0" w:color="B2E7E5" w:themeColor="accent4" w:themeTint="BF"/>
        <w:right w:val="single" w:sz="8" w:space="0" w:color="B2E7E5" w:themeColor="accent4" w:themeTint="BF"/>
        <w:insideH w:val="single" w:sz="8" w:space="0" w:color="B2E7E5" w:themeColor="accent4" w:themeTint="BF"/>
      </w:tblBorders>
    </w:tblPr>
    <w:tblStylePr w:type="firstRow">
      <w:pPr>
        <w:spacing w:before="0" w:after="0" w:line="240" w:lineRule="auto"/>
      </w:pPr>
      <w:rPr>
        <w:b/>
        <w:bCs/>
        <w:color w:val="FFFFFF" w:themeColor="background1"/>
      </w:rPr>
      <w:tblPr/>
      <w:tcPr>
        <w:tcBorders>
          <w:top w:val="single" w:sz="8" w:space="0" w:color="B2E7E5" w:themeColor="accent4" w:themeTint="BF"/>
          <w:left w:val="single" w:sz="8" w:space="0" w:color="B2E7E5" w:themeColor="accent4" w:themeTint="BF"/>
          <w:bottom w:val="single" w:sz="8" w:space="0" w:color="B2E7E5" w:themeColor="accent4" w:themeTint="BF"/>
          <w:right w:val="single" w:sz="8" w:space="0" w:color="B2E7E5" w:themeColor="accent4" w:themeTint="BF"/>
          <w:insideH w:val="nil"/>
          <w:insideV w:val="nil"/>
        </w:tcBorders>
        <w:shd w:val="clear" w:color="auto" w:fill="99E0DD" w:themeFill="accent4"/>
      </w:tcPr>
    </w:tblStylePr>
    <w:tblStylePr w:type="lastRow">
      <w:pPr>
        <w:spacing w:before="0" w:after="0" w:line="240" w:lineRule="auto"/>
      </w:pPr>
      <w:rPr>
        <w:b/>
        <w:bCs/>
      </w:rPr>
      <w:tblPr/>
      <w:tcPr>
        <w:tcBorders>
          <w:top w:val="double" w:sz="6" w:space="0" w:color="B2E7E5" w:themeColor="accent4" w:themeTint="BF"/>
          <w:left w:val="single" w:sz="8" w:space="0" w:color="B2E7E5" w:themeColor="accent4" w:themeTint="BF"/>
          <w:bottom w:val="single" w:sz="8" w:space="0" w:color="B2E7E5" w:themeColor="accent4" w:themeTint="BF"/>
          <w:right w:val="single" w:sz="8" w:space="0" w:color="B2E7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4" w:themeFillTint="3F"/>
      </w:tcPr>
    </w:tblStylePr>
    <w:tblStylePr w:type="band1Horz">
      <w:tblPr/>
      <w:tcPr>
        <w:tcBorders>
          <w:insideH w:val="nil"/>
          <w:insideV w:val="nil"/>
        </w:tcBorders>
        <w:shd w:val="clear" w:color="auto" w:fill="E5F7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1343A"/>
    <w:pPr>
      <w:spacing w:line="240" w:lineRule="auto"/>
    </w:pPr>
    <w:tblPr>
      <w:tblStyleRowBandSize w:val="1"/>
      <w:tblStyleColBandSize w:val="1"/>
      <w:tblBorders>
        <w:top w:val="single" w:sz="8" w:space="0" w:color="B2D4F0" w:themeColor="accent5" w:themeTint="BF"/>
        <w:left w:val="single" w:sz="8" w:space="0" w:color="B2D4F0" w:themeColor="accent5" w:themeTint="BF"/>
        <w:bottom w:val="single" w:sz="8" w:space="0" w:color="B2D4F0" w:themeColor="accent5" w:themeTint="BF"/>
        <w:right w:val="single" w:sz="8" w:space="0" w:color="B2D4F0" w:themeColor="accent5" w:themeTint="BF"/>
        <w:insideH w:val="single" w:sz="8" w:space="0" w:color="B2D4F0" w:themeColor="accent5" w:themeTint="BF"/>
      </w:tblBorders>
    </w:tblPr>
    <w:tblStylePr w:type="firstRow">
      <w:pPr>
        <w:spacing w:before="0" w:after="0" w:line="240" w:lineRule="auto"/>
      </w:pPr>
      <w:rPr>
        <w:b/>
        <w:bCs/>
        <w:color w:val="FFFFFF" w:themeColor="background1"/>
      </w:rPr>
      <w:tblPr/>
      <w:tcPr>
        <w:tcBorders>
          <w:top w:val="single" w:sz="8" w:space="0" w:color="B2D4F0" w:themeColor="accent5" w:themeTint="BF"/>
          <w:left w:val="single" w:sz="8" w:space="0" w:color="B2D4F0" w:themeColor="accent5" w:themeTint="BF"/>
          <w:bottom w:val="single" w:sz="8" w:space="0" w:color="B2D4F0" w:themeColor="accent5" w:themeTint="BF"/>
          <w:right w:val="single" w:sz="8" w:space="0" w:color="B2D4F0" w:themeColor="accent5" w:themeTint="BF"/>
          <w:insideH w:val="nil"/>
          <w:insideV w:val="nil"/>
        </w:tcBorders>
        <w:shd w:val="clear" w:color="auto" w:fill="99C7EB" w:themeFill="accent5"/>
      </w:tcPr>
    </w:tblStylePr>
    <w:tblStylePr w:type="lastRow">
      <w:pPr>
        <w:spacing w:before="0" w:after="0" w:line="240" w:lineRule="auto"/>
      </w:pPr>
      <w:rPr>
        <w:b/>
        <w:bCs/>
      </w:rPr>
      <w:tblPr/>
      <w:tcPr>
        <w:tcBorders>
          <w:top w:val="double" w:sz="6" w:space="0" w:color="B2D4F0" w:themeColor="accent5" w:themeTint="BF"/>
          <w:left w:val="single" w:sz="8" w:space="0" w:color="B2D4F0" w:themeColor="accent5" w:themeTint="BF"/>
          <w:bottom w:val="single" w:sz="8" w:space="0" w:color="B2D4F0" w:themeColor="accent5" w:themeTint="BF"/>
          <w:right w:val="single" w:sz="8" w:space="0" w:color="B2D4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F1FA" w:themeFill="accent5" w:themeFillTint="3F"/>
      </w:tcPr>
    </w:tblStylePr>
    <w:tblStylePr w:type="band1Horz">
      <w:tblPr/>
      <w:tcPr>
        <w:tcBorders>
          <w:insideH w:val="nil"/>
          <w:insideV w:val="nil"/>
        </w:tcBorders>
        <w:shd w:val="clear" w:color="auto" w:fill="E5F1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1343A"/>
    <w:pPr>
      <w:spacing w:line="240" w:lineRule="auto"/>
    </w:pPr>
    <w:tblPr>
      <w:tblStyleRowBandSize w:val="1"/>
      <w:tblStyleColBandSize w:val="1"/>
      <w:tblBorders>
        <w:top w:val="single" w:sz="8" w:space="0" w:color="BCB8C7" w:themeColor="accent6" w:themeTint="BF"/>
        <w:left w:val="single" w:sz="8" w:space="0" w:color="BCB8C7" w:themeColor="accent6" w:themeTint="BF"/>
        <w:bottom w:val="single" w:sz="8" w:space="0" w:color="BCB8C7" w:themeColor="accent6" w:themeTint="BF"/>
        <w:right w:val="single" w:sz="8" w:space="0" w:color="BCB8C7" w:themeColor="accent6" w:themeTint="BF"/>
        <w:insideH w:val="single" w:sz="8" w:space="0" w:color="BCB8C7" w:themeColor="accent6" w:themeTint="BF"/>
      </w:tblBorders>
    </w:tblPr>
    <w:tblStylePr w:type="firstRow">
      <w:pPr>
        <w:spacing w:before="0" w:after="0" w:line="240" w:lineRule="auto"/>
      </w:pPr>
      <w:rPr>
        <w:b/>
        <w:bCs/>
        <w:color w:val="FFFFFF" w:themeColor="background1"/>
      </w:rPr>
      <w:tblPr/>
      <w:tcPr>
        <w:tcBorders>
          <w:top w:val="single" w:sz="8" w:space="0" w:color="BCB8C7" w:themeColor="accent6" w:themeTint="BF"/>
          <w:left w:val="single" w:sz="8" w:space="0" w:color="BCB8C7" w:themeColor="accent6" w:themeTint="BF"/>
          <w:bottom w:val="single" w:sz="8" w:space="0" w:color="BCB8C7" w:themeColor="accent6" w:themeTint="BF"/>
          <w:right w:val="single" w:sz="8" w:space="0" w:color="BCB8C7" w:themeColor="accent6" w:themeTint="BF"/>
          <w:insideH w:val="nil"/>
          <w:insideV w:val="nil"/>
        </w:tcBorders>
        <w:shd w:val="clear" w:color="auto" w:fill="A6A1B5" w:themeFill="accent6"/>
      </w:tcPr>
    </w:tblStylePr>
    <w:tblStylePr w:type="lastRow">
      <w:pPr>
        <w:spacing w:before="0" w:after="0" w:line="240" w:lineRule="auto"/>
      </w:pPr>
      <w:rPr>
        <w:b/>
        <w:bCs/>
      </w:rPr>
      <w:tblPr/>
      <w:tcPr>
        <w:tcBorders>
          <w:top w:val="double" w:sz="6" w:space="0" w:color="BCB8C7" w:themeColor="accent6" w:themeTint="BF"/>
          <w:left w:val="single" w:sz="8" w:space="0" w:color="BCB8C7" w:themeColor="accent6" w:themeTint="BF"/>
          <w:bottom w:val="single" w:sz="8" w:space="0" w:color="BCB8C7" w:themeColor="accent6" w:themeTint="BF"/>
          <w:right w:val="single" w:sz="8" w:space="0" w:color="BCB8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E7EC" w:themeFill="accent6" w:themeFillTint="3F"/>
      </w:tcPr>
    </w:tblStylePr>
    <w:tblStylePr w:type="band1Horz">
      <w:tblPr/>
      <w:tcPr>
        <w:tcBorders>
          <w:insideH w:val="nil"/>
          <w:insideV w:val="nil"/>
        </w:tcBorders>
        <w:shd w:val="clear" w:color="auto" w:fill="E8E7E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1"/>
      </w:tcPr>
    </w:tblStylePr>
    <w:tblStylePr w:type="lastCol">
      <w:rPr>
        <w:b/>
        <w:bCs/>
        <w:color w:val="FFFFFF" w:themeColor="background1"/>
      </w:rPr>
      <w:tblPr/>
      <w:tcPr>
        <w:tcBorders>
          <w:left w:val="nil"/>
          <w:right w:val="nil"/>
          <w:insideH w:val="nil"/>
          <w:insideV w:val="nil"/>
        </w:tcBorders>
        <w:shd w:val="clear" w:color="auto" w:fill="00B2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2"/>
      </w:tcPr>
    </w:tblStylePr>
    <w:tblStylePr w:type="lastCol">
      <w:rPr>
        <w:b/>
        <w:bCs/>
        <w:color w:val="FFFFFF" w:themeColor="background1"/>
      </w:rPr>
      <w:tblPr/>
      <w:tcPr>
        <w:tcBorders>
          <w:left w:val="nil"/>
          <w:right w:val="nil"/>
          <w:insideH w:val="nil"/>
          <w:insideV w:val="nil"/>
        </w:tcBorders>
        <w:shd w:val="clear" w:color="auto" w:fill="0072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3"/>
      </w:tcPr>
    </w:tblStylePr>
    <w:tblStylePr w:type="lastCol">
      <w:rPr>
        <w:b/>
        <w:bCs/>
        <w:color w:val="FFFFFF" w:themeColor="background1"/>
      </w:rPr>
      <w:tblPr/>
      <w:tcPr>
        <w:tcBorders>
          <w:left w:val="nil"/>
          <w:right w:val="nil"/>
          <w:insideH w:val="nil"/>
          <w:insideV w:val="nil"/>
        </w:tcBorders>
        <w:shd w:val="clear" w:color="auto" w:fill="20154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4"/>
      </w:tcPr>
    </w:tblStylePr>
    <w:tblStylePr w:type="lastCol">
      <w:rPr>
        <w:b/>
        <w:bCs/>
        <w:color w:val="FFFFFF" w:themeColor="background1"/>
      </w:rPr>
      <w:tblPr/>
      <w:tcPr>
        <w:tcBorders>
          <w:left w:val="nil"/>
          <w:right w:val="nil"/>
          <w:insideH w:val="nil"/>
          <w:insideV w:val="nil"/>
        </w:tcBorders>
        <w:shd w:val="clear" w:color="auto" w:fill="99E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7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7EB" w:themeFill="accent5"/>
      </w:tcPr>
    </w:tblStylePr>
    <w:tblStylePr w:type="lastCol">
      <w:rPr>
        <w:b/>
        <w:bCs/>
        <w:color w:val="FFFFFF" w:themeColor="background1"/>
      </w:rPr>
      <w:tblPr/>
      <w:tcPr>
        <w:tcBorders>
          <w:left w:val="nil"/>
          <w:right w:val="nil"/>
          <w:insideH w:val="nil"/>
          <w:insideV w:val="nil"/>
        </w:tcBorders>
        <w:shd w:val="clear" w:color="auto" w:fill="99C7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1B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A1B5" w:themeFill="accent6"/>
      </w:tcPr>
    </w:tblStylePr>
    <w:tblStylePr w:type="lastCol">
      <w:rPr>
        <w:b/>
        <w:bCs/>
        <w:color w:val="FFFFFF" w:themeColor="background1"/>
      </w:rPr>
      <w:tblPr/>
      <w:tcPr>
        <w:tcBorders>
          <w:left w:val="nil"/>
          <w:right w:val="nil"/>
          <w:insideH w:val="nil"/>
          <w:insideV w:val="nil"/>
        </w:tcBorders>
        <w:shd w:val="clear" w:color="auto" w:fill="A6A1B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1343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1343A"/>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1343A"/>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1343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1343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1343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5F033071467457EA6C0D9A00DB4D927">
    <w:name w:val="75F033071467457EA6C0D9A00DB4D927"/>
    <w:rsid w:val="007A4821"/>
    <w:pPr>
      <w:spacing w:after="360" w:line="600" w:lineRule="exact"/>
      <w:jc w:val="right"/>
    </w:pPr>
    <w:rPr>
      <w:rFonts w:asciiTheme="majorHAnsi" w:eastAsiaTheme="majorEastAsia" w:hAnsiTheme="majorHAnsi" w:cstheme="majorBidi"/>
      <w:b/>
      <w:color w:val="FFFFFF"/>
      <w:spacing w:val="-2"/>
      <w:sz w:val="54"/>
      <w:szCs w:val="52"/>
    </w:rPr>
  </w:style>
  <w:style w:type="character" w:styleId="UnresolvedMention">
    <w:name w:val="Unresolved Mention"/>
    <w:basedOn w:val="DefaultParagraphFont"/>
    <w:uiPriority w:val="99"/>
    <w:unhideWhenUsed/>
    <w:rsid w:val="00582647"/>
    <w:rPr>
      <w:color w:val="605E5C"/>
      <w:shd w:val="clear" w:color="auto" w:fill="E1DFDD"/>
    </w:rPr>
  </w:style>
  <w:style w:type="paragraph" w:styleId="TOAHeading">
    <w:name w:val="toa heading"/>
    <w:basedOn w:val="Normal"/>
    <w:next w:val="Normal"/>
    <w:rsid w:val="00421E6F"/>
    <w:pPr>
      <w:autoSpaceDE w:val="0"/>
      <w:autoSpaceDN w:val="0"/>
      <w:adjustRightInd w:val="0"/>
      <w:spacing w:after="240" w:line="240" w:lineRule="auto"/>
    </w:pPr>
    <w:rPr>
      <w:rFonts w:ascii="Arial" w:hAnsi="Arial"/>
      <w:color w:val="006794"/>
      <w:sz w:val="56"/>
      <w:szCs w:val="56"/>
    </w:rPr>
  </w:style>
  <w:style w:type="paragraph" w:customStyle="1" w:styleId="Tabletext">
    <w:name w:val="Table text"/>
    <w:basedOn w:val="Normal"/>
    <w:link w:val="TabletextChar"/>
    <w:rsid w:val="00421E6F"/>
    <w:pPr>
      <w:autoSpaceDE w:val="0"/>
      <w:autoSpaceDN w:val="0"/>
      <w:adjustRightInd w:val="0"/>
      <w:spacing w:line="280" w:lineRule="atLeast"/>
    </w:pPr>
    <w:rPr>
      <w:rFonts w:ascii="Arial" w:hAnsi="Arial"/>
      <w:color w:val="auto"/>
      <w:sz w:val="18"/>
      <w:szCs w:val="18"/>
    </w:rPr>
  </w:style>
  <w:style w:type="character" w:customStyle="1" w:styleId="TabletextChar">
    <w:name w:val="Table text Char"/>
    <w:basedOn w:val="DefaultParagraphFont"/>
    <w:link w:val="Tabletext"/>
    <w:rsid w:val="00421E6F"/>
    <w:rPr>
      <w:rFonts w:ascii="Arial" w:hAnsi="Arial"/>
      <w:color w:val="auto"/>
      <w:sz w:val="18"/>
      <w:szCs w:val="18"/>
    </w:rPr>
  </w:style>
  <w:style w:type="paragraph" w:customStyle="1" w:styleId="ListBullet1">
    <w:name w:val="List Bullet1"/>
    <w:basedOn w:val="Normal"/>
    <w:next w:val="ListBullet"/>
    <w:rsid w:val="00421E6F"/>
    <w:pPr>
      <w:spacing w:after="60" w:line="240" w:lineRule="auto"/>
      <w:ind w:left="454" w:hanging="170"/>
    </w:pPr>
    <w:rPr>
      <w:rFonts w:ascii="Arial" w:hAnsi="Arial"/>
      <w:color w:val="auto"/>
      <w:spacing w:val="-3"/>
      <w:w w:val="73"/>
      <w:sz w:val="22"/>
      <w:szCs w:val="24"/>
    </w:rPr>
  </w:style>
  <w:style w:type="paragraph" w:customStyle="1" w:styleId="TableHeading">
    <w:name w:val="Table Heading"/>
    <w:basedOn w:val="Normal"/>
    <w:rsid w:val="00421E6F"/>
    <w:pPr>
      <w:autoSpaceDE w:val="0"/>
      <w:autoSpaceDN w:val="0"/>
      <w:adjustRightInd w:val="0"/>
      <w:spacing w:line="240" w:lineRule="auto"/>
      <w:ind w:left="170" w:right="-23"/>
    </w:pPr>
    <w:rPr>
      <w:rFonts w:ascii="Arial" w:hAnsi="Arial"/>
      <w:b/>
      <w:color w:val="FFFFFF"/>
      <w:sz w:val="18"/>
      <w:szCs w:val="18"/>
    </w:rPr>
  </w:style>
  <w:style w:type="paragraph" w:customStyle="1" w:styleId="Information">
    <w:name w:val="Information"/>
    <w:basedOn w:val="Caption"/>
    <w:rsid w:val="00421E6F"/>
    <w:pPr>
      <w:keepNext w:val="0"/>
      <w:spacing w:before="0" w:line="240" w:lineRule="auto"/>
      <w:ind w:left="284"/>
    </w:pPr>
    <w:rPr>
      <w:rFonts w:ascii="Arial" w:hAnsi="Arial"/>
      <w:color w:val="auto"/>
    </w:rPr>
  </w:style>
  <w:style w:type="paragraph" w:customStyle="1" w:styleId="TOASubheading">
    <w:name w:val="TOA Sub heading"/>
    <w:basedOn w:val="TOAHeading"/>
    <w:rsid w:val="00421E6F"/>
    <w:rPr>
      <w:sz w:val="36"/>
    </w:rPr>
  </w:style>
  <w:style w:type="paragraph" w:customStyle="1" w:styleId="Informationbullet">
    <w:name w:val="Information bullet"/>
    <w:basedOn w:val="ListBullet2"/>
    <w:qFormat/>
    <w:rsid w:val="00421E6F"/>
    <w:pPr>
      <w:numPr>
        <w:ilvl w:val="0"/>
        <w:numId w:val="0"/>
      </w:numPr>
      <w:tabs>
        <w:tab w:val="num" w:pos="680"/>
      </w:tabs>
      <w:ind w:left="680" w:right="-23" w:hanging="340"/>
    </w:pPr>
    <w:rPr>
      <w:rFonts w:ascii="Arial" w:hAnsi="Arial"/>
      <w:color w:val="auto"/>
      <w:szCs w:val="24"/>
    </w:rPr>
  </w:style>
  <w:style w:type="paragraph" w:customStyle="1" w:styleId="Style14ptWhiteLeft16cmRight853cmBefore095p">
    <w:name w:val="Style 14 pt White Left:  1.6 cm Right:  8.53 cm Before:  0.95 p..."/>
    <w:basedOn w:val="Normal"/>
    <w:next w:val="Normal"/>
    <w:rsid w:val="00421E6F"/>
    <w:pPr>
      <w:tabs>
        <w:tab w:val="num" w:pos="1020"/>
      </w:tabs>
      <w:spacing w:before="19" w:after="240" w:line="253" w:lineRule="auto"/>
      <w:ind w:left="1020" w:right="4838" w:hanging="340"/>
    </w:pPr>
    <w:rPr>
      <w:rFonts w:ascii="Arial" w:hAnsi="Arial"/>
      <w:color w:val="FFFFFF"/>
      <w:w w:val="96"/>
      <w:sz w:val="28"/>
    </w:rPr>
  </w:style>
  <w:style w:type="paragraph" w:customStyle="1" w:styleId="Covertagline">
    <w:name w:val="Cover tagline"/>
    <w:basedOn w:val="Style14ptWhiteLeft16cmRight853cmBefore095p"/>
    <w:qFormat/>
    <w:rsid w:val="00421E6F"/>
    <w:pPr>
      <w:tabs>
        <w:tab w:val="clear" w:pos="1020"/>
        <w:tab w:val="num" w:pos="1389"/>
      </w:tabs>
      <w:ind w:left="1389" w:hanging="369"/>
    </w:pPr>
  </w:style>
  <w:style w:type="paragraph" w:customStyle="1" w:styleId="Subtitle1">
    <w:name w:val="Subtitle1"/>
    <w:basedOn w:val="Title"/>
    <w:rsid w:val="00421E6F"/>
    <w:pPr>
      <w:autoSpaceDE w:val="0"/>
      <w:autoSpaceDN w:val="0"/>
      <w:adjustRightInd w:val="0"/>
      <w:spacing w:after="120" w:line="240" w:lineRule="auto"/>
      <w:ind w:left="930" w:right="-23"/>
      <w:jc w:val="left"/>
    </w:pPr>
    <w:rPr>
      <w:rFonts w:ascii="Arial" w:eastAsia="Times New Roman" w:hAnsi="Arial" w:cs="Arial"/>
      <w:color w:val="auto"/>
      <w:spacing w:val="0"/>
      <w:sz w:val="52"/>
      <w:szCs w:val="43"/>
    </w:rPr>
  </w:style>
  <w:style w:type="paragraph" w:customStyle="1" w:styleId="StyleSubtitleLatinArial18ptBold">
    <w:name w:val="Style Subtitle + (Latin) Arial 18 pt Bold"/>
    <w:basedOn w:val="Subtitle"/>
    <w:next w:val="Normal"/>
    <w:rsid w:val="00421E6F"/>
    <w:pPr>
      <w:spacing w:after="160" w:line="240" w:lineRule="auto"/>
      <w:ind w:left="993"/>
      <w:jc w:val="left"/>
    </w:pPr>
    <w:rPr>
      <w:rFonts w:ascii="Arial" w:eastAsiaTheme="minorEastAsia" w:hAnsi="Arial" w:cs="Arial"/>
      <w:iCs w:val="0"/>
      <w:color w:val="7E7C7A" w:themeColor="text1" w:themeTint="A5"/>
      <w:spacing w:val="15"/>
      <w:sz w:val="36"/>
      <w:szCs w:val="22"/>
    </w:rPr>
  </w:style>
  <w:style w:type="paragraph" w:customStyle="1" w:styleId="Default">
    <w:name w:val="Default"/>
    <w:rsid w:val="00421E6F"/>
    <w:pPr>
      <w:autoSpaceDE w:val="0"/>
      <w:autoSpaceDN w:val="0"/>
      <w:adjustRightInd w:val="0"/>
      <w:spacing w:line="240" w:lineRule="auto"/>
    </w:pPr>
    <w:rPr>
      <w:rFonts w:ascii="Arial" w:hAnsi="Arial"/>
      <w:color w:val="000000"/>
      <w:sz w:val="24"/>
      <w:szCs w:val="24"/>
    </w:rPr>
  </w:style>
  <w:style w:type="paragraph" w:customStyle="1" w:styleId="Forward">
    <w:name w:val="Forward"/>
    <w:basedOn w:val="Normal"/>
    <w:qFormat/>
    <w:rsid w:val="00421E6F"/>
    <w:pPr>
      <w:spacing w:after="120" w:line="240" w:lineRule="auto"/>
      <w:contextualSpacing/>
    </w:pPr>
    <w:rPr>
      <w:rFonts w:ascii="Arial" w:hAnsi="Arial"/>
      <w:color w:val="auto"/>
      <w:sz w:val="18"/>
      <w:szCs w:val="24"/>
    </w:rPr>
  </w:style>
  <w:style w:type="character" w:styleId="Strong">
    <w:name w:val="Strong"/>
    <w:basedOn w:val="DefaultParagraphFont"/>
    <w:uiPriority w:val="22"/>
    <w:qFormat/>
    <w:rsid w:val="00421E6F"/>
    <w:rPr>
      <w:b/>
      <w:bCs/>
    </w:rPr>
  </w:style>
  <w:style w:type="character" w:customStyle="1" w:styleId="BalloonTextChar">
    <w:name w:val="Balloon Text Char"/>
    <w:basedOn w:val="DefaultParagraphFont"/>
    <w:link w:val="BalloonText"/>
    <w:rsid w:val="00421E6F"/>
    <w:rPr>
      <w:rFonts w:ascii="Tahoma" w:hAnsi="Tahoma" w:cs="Tahoma"/>
      <w:sz w:val="16"/>
      <w:szCs w:val="16"/>
    </w:rPr>
  </w:style>
  <w:style w:type="paragraph" w:customStyle="1" w:styleId="DPCbody">
    <w:name w:val="DPC body"/>
    <w:qFormat/>
    <w:rsid w:val="00421E6F"/>
    <w:pPr>
      <w:spacing w:after="160" w:line="300" w:lineRule="atLeast"/>
    </w:pPr>
    <w:rPr>
      <w:rFonts w:eastAsia="Times"/>
      <w:sz w:val="22"/>
      <w:szCs w:val="22"/>
      <w:lang w:eastAsia="en-US"/>
    </w:rPr>
  </w:style>
  <w:style w:type="paragraph" w:customStyle="1" w:styleId="Pa15">
    <w:name w:val="Pa15"/>
    <w:basedOn w:val="Default"/>
    <w:next w:val="Default"/>
    <w:uiPriority w:val="99"/>
    <w:rsid w:val="00421E6F"/>
    <w:pPr>
      <w:spacing w:line="181" w:lineRule="atLeast"/>
    </w:pPr>
    <w:rPr>
      <w:rFonts w:ascii="Gotham Light" w:hAnsi="Gotham Light" w:cs="Times New Roman"/>
      <w:color w:val="auto"/>
    </w:rPr>
  </w:style>
  <w:style w:type="paragraph" w:styleId="Revision">
    <w:name w:val="Revision"/>
    <w:hidden/>
    <w:uiPriority w:val="99"/>
    <w:semiHidden/>
    <w:rsid w:val="00421E6F"/>
    <w:pPr>
      <w:spacing w:line="240" w:lineRule="auto"/>
    </w:pPr>
    <w:rPr>
      <w:rFonts w:ascii="Arial" w:hAnsi="Arial" w:cs="Times New Roman"/>
      <w:color w:val="auto"/>
      <w:sz w:val="22"/>
      <w:szCs w:val="24"/>
    </w:rPr>
  </w:style>
  <w:style w:type="paragraph" w:customStyle="1" w:styleId="TableText0">
    <w:name w:val="Table Text"/>
    <w:uiPriority w:val="19"/>
    <w:qFormat/>
    <w:rsid w:val="00421E6F"/>
    <w:pPr>
      <w:keepNext/>
      <w:spacing w:after="60" w:line="240" w:lineRule="auto"/>
    </w:pPr>
    <w:rPr>
      <w:rFonts w:eastAsiaTheme="minorHAnsi" w:cs="Times New Roman"/>
      <w:color w:val="auto"/>
      <w:lang w:eastAsia="en-US"/>
    </w:rPr>
  </w:style>
  <w:style w:type="paragraph" w:customStyle="1" w:styleId="Pa3">
    <w:name w:val="Pa3"/>
    <w:basedOn w:val="Default"/>
    <w:next w:val="Default"/>
    <w:uiPriority w:val="99"/>
    <w:rsid w:val="00421E6F"/>
    <w:pPr>
      <w:spacing w:line="181" w:lineRule="atLeast"/>
    </w:pPr>
    <w:rPr>
      <w:rFonts w:ascii="VIC Light" w:eastAsiaTheme="minorHAnsi" w:hAnsi="VIC Light" w:cstheme="minorBidi"/>
      <w:color w:val="auto"/>
      <w:lang w:eastAsia="en-US"/>
    </w:rPr>
  </w:style>
  <w:style w:type="character" w:customStyle="1" w:styleId="UnresolvedMention1">
    <w:name w:val="Unresolved Mention1"/>
    <w:basedOn w:val="DefaultParagraphFont"/>
    <w:uiPriority w:val="99"/>
    <w:unhideWhenUsed/>
    <w:rsid w:val="00421E6F"/>
    <w:rPr>
      <w:color w:val="605E5C"/>
      <w:shd w:val="clear" w:color="auto" w:fill="E1DFDD"/>
    </w:rPr>
  </w:style>
  <w:style w:type="character" w:customStyle="1" w:styleId="normaltextrun">
    <w:name w:val="normaltextrun"/>
    <w:basedOn w:val="DefaultParagraphFont"/>
    <w:rsid w:val="00421E6F"/>
  </w:style>
  <w:style w:type="character" w:customStyle="1" w:styleId="eop">
    <w:name w:val="eop"/>
    <w:basedOn w:val="DefaultParagraphFont"/>
    <w:rsid w:val="00421E6F"/>
  </w:style>
  <w:style w:type="paragraph" w:customStyle="1" w:styleId="paragraph">
    <w:name w:val="paragraph"/>
    <w:basedOn w:val="Normal"/>
    <w:rsid w:val="00421E6F"/>
    <w:pPr>
      <w:spacing w:before="100" w:beforeAutospacing="1" w:after="100" w:afterAutospacing="1" w:line="240" w:lineRule="auto"/>
    </w:pPr>
    <w:rPr>
      <w:rFonts w:ascii="Times New Roman" w:hAnsi="Times New Roman"/>
      <w:color w:val="auto"/>
      <w:sz w:val="24"/>
      <w:szCs w:val="24"/>
    </w:rPr>
  </w:style>
  <w:style w:type="character" w:customStyle="1" w:styleId="Mention1">
    <w:name w:val="Mention1"/>
    <w:basedOn w:val="DefaultParagraphFont"/>
    <w:uiPriority w:val="99"/>
    <w:unhideWhenUsed/>
    <w:rsid w:val="00421E6F"/>
    <w:rPr>
      <w:color w:val="2B579A"/>
      <w:shd w:val="clear" w:color="auto" w:fill="E1DFDD"/>
    </w:rPr>
  </w:style>
  <w:style w:type="paragraph" w:styleId="TOC9">
    <w:name w:val="toc 9"/>
    <w:basedOn w:val="Normal"/>
    <w:next w:val="Normal"/>
    <w:autoRedefine/>
    <w:uiPriority w:val="39"/>
    <w:unhideWhenUsed/>
    <w:rsid w:val="00421E6F"/>
    <w:pPr>
      <w:spacing w:line="240" w:lineRule="auto"/>
      <w:ind w:left="1540"/>
    </w:pPr>
    <w:rPr>
      <w:rFonts w:cstheme="minorHAnsi"/>
      <w:color w:val="auto"/>
    </w:rPr>
  </w:style>
  <w:style w:type="character" w:customStyle="1" w:styleId="Hyperlink0">
    <w:name w:val="Hyperlink.0"/>
    <w:basedOn w:val="DefaultParagraphFont"/>
    <w:rsid w:val="00421E6F"/>
    <w:rPr>
      <w:rFonts w:ascii="Arial" w:eastAsia="Arial" w:hAnsi="Arial" w:cs="Arial"/>
      <w:lang w:val="en-US"/>
    </w:rPr>
  </w:style>
  <w:style w:type="numbering" w:customStyle="1" w:styleId="DELWPHeadings">
    <w:name w:val="DELWP Headings"/>
    <w:basedOn w:val="NoList"/>
    <w:rsid w:val="00421E6F"/>
    <w:pPr>
      <w:numPr>
        <w:numId w:val="18"/>
      </w:numPr>
    </w:pPr>
  </w:style>
  <w:style w:type="table" w:customStyle="1" w:styleId="TableGrid1">
    <w:name w:val="Table Grid1"/>
    <w:basedOn w:val="TableNormal"/>
    <w:next w:val="TableGrid"/>
    <w:rsid w:val="00421E6F"/>
    <w:pPr>
      <w:spacing w:before="60" w:after="60" w:line="220" w:lineRule="atLeast"/>
      <w:ind w:left="113" w:right="113"/>
    </w:pPr>
    <w:rPr>
      <w:rFonts w:ascii="Arial" w:hAnsi="Arial" w:cs="Times New Roman"/>
      <w:color w:val="363534"/>
      <w:sz w:val="18"/>
    </w:rPr>
    <w:tblPr>
      <w:tblStyleColBandSize w:val="1"/>
      <w:tblBorders>
        <w:top w:val="single" w:sz="8" w:space="0" w:color="0072CE"/>
        <w:bottom w:val="single" w:sz="8" w:space="0" w:color="0072CE"/>
        <w:insideH w:val="single" w:sz="8" w:space="0" w:color="0072CE"/>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72CE"/>
      </w:tcPr>
    </w:tblStylePr>
    <w:tblStylePr w:type="lastRow">
      <w:rPr>
        <w:b w:val="0"/>
      </w:rPr>
    </w:tblStylePr>
    <w:tblStylePr w:type="lastCol">
      <w:pPr>
        <w:jc w:val="left"/>
      </w:pPr>
    </w:tblStylePr>
    <w:tblStylePr w:type="band1Vert">
      <w:tblPr/>
      <w:tcPr>
        <w:shd w:val="clear" w:color="auto" w:fill="E5F1FA"/>
      </w:tcPr>
    </w:tblStylePr>
    <w:tblStylePr w:type="nwCell">
      <w:pPr>
        <w:jc w:val="left"/>
      </w:pPr>
    </w:tblStylePr>
  </w:style>
  <w:style w:type="numbering" w:customStyle="1" w:styleId="DELWPHeadings1">
    <w:name w:val="DELWP Headings1"/>
    <w:basedOn w:val="NoList"/>
    <w:rsid w:val="00421E6F"/>
  </w:style>
  <w:style w:type="table" w:customStyle="1" w:styleId="GridTable4-Accent21">
    <w:name w:val="Grid Table 4 - Accent 21"/>
    <w:basedOn w:val="TableNormal"/>
    <w:uiPriority w:val="49"/>
    <w:rsid w:val="00421E6F"/>
    <w:pPr>
      <w:spacing w:line="240" w:lineRule="auto"/>
    </w:pPr>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color w:val="FFFFFF" w:themeColor="background1"/>
      </w:rPr>
      <w:tblPr/>
      <w:tcPr>
        <w:tcBorders>
          <w:top w:val="single" w:sz="4" w:space="0" w:color="0072CE" w:themeColor="accent2"/>
          <w:left w:val="single" w:sz="4" w:space="0" w:color="0072CE" w:themeColor="accent2"/>
          <w:bottom w:val="single" w:sz="4" w:space="0" w:color="0072CE" w:themeColor="accent2"/>
          <w:right w:val="single" w:sz="4" w:space="0" w:color="0072CE" w:themeColor="accent2"/>
          <w:insideH w:val="nil"/>
          <w:insideV w:val="nil"/>
        </w:tcBorders>
        <w:shd w:val="clear" w:color="auto" w:fill="0072CE" w:themeFill="accent2"/>
      </w:tcPr>
    </w:tblStylePr>
    <w:tblStylePr w:type="lastRow">
      <w:rPr>
        <w:b/>
        <w:bCs/>
      </w:rPr>
      <w:tblPr/>
      <w:tcPr>
        <w:tcBorders>
          <w:top w:val="double" w:sz="4" w:space="0" w:color="0072CE" w:themeColor="accent2"/>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paragraph" w:customStyle="1" w:styleId="xmsonormal">
    <w:name w:val="x_msonormal"/>
    <w:basedOn w:val="Normal"/>
    <w:rsid w:val="00421E6F"/>
    <w:pPr>
      <w:spacing w:line="240" w:lineRule="auto"/>
    </w:pPr>
    <w:rPr>
      <w:rFonts w:ascii="Calibri" w:eastAsiaTheme="minorHAnsi" w:hAnsi="Calibri" w:cs="Calibri"/>
      <w:color w:val="auto"/>
      <w:sz w:val="22"/>
      <w:szCs w:val="22"/>
    </w:rPr>
  </w:style>
  <w:style w:type="paragraph" w:customStyle="1" w:styleId="xgui-body-text">
    <w:name w:val="x_gui-body-text"/>
    <w:basedOn w:val="Normal"/>
    <w:rsid w:val="00421E6F"/>
    <w:pPr>
      <w:spacing w:before="100" w:beforeAutospacing="1" w:after="100" w:afterAutospacing="1" w:line="240" w:lineRule="auto"/>
    </w:pPr>
    <w:rPr>
      <w:rFonts w:ascii="Calibri" w:eastAsiaTheme="minorHAnsi" w:hAnsi="Calibri" w:cs="Calibri"/>
      <w:color w:val="auto"/>
      <w:sz w:val="22"/>
      <w:szCs w:val="22"/>
    </w:rPr>
  </w:style>
  <w:style w:type="paragraph" w:styleId="EndnoteText">
    <w:name w:val="endnote text"/>
    <w:basedOn w:val="Normal"/>
    <w:link w:val="EndnoteTextChar"/>
    <w:semiHidden/>
    <w:unhideWhenUsed/>
    <w:rsid w:val="00421E6F"/>
    <w:pPr>
      <w:spacing w:line="240" w:lineRule="auto"/>
    </w:pPr>
    <w:rPr>
      <w:rFonts w:ascii="Arial" w:hAnsi="Arial"/>
      <w:color w:val="auto"/>
    </w:rPr>
  </w:style>
  <w:style w:type="character" w:customStyle="1" w:styleId="EndnoteTextChar">
    <w:name w:val="Endnote Text Char"/>
    <w:basedOn w:val="DefaultParagraphFont"/>
    <w:link w:val="EndnoteText"/>
    <w:semiHidden/>
    <w:rsid w:val="00421E6F"/>
    <w:rPr>
      <w:rFonts w:ascii="Arial" w:hAnsi="Arial"/>
      <w:color w:val="auto"/>
    </w:rPr>
  </w:style>
  <w:style w:type="character" w:styleId="EndnoteReference">
    <w:name w:val="endnote reference"/>
    <w:basedOn w:val="DefaultParagraphFont"/>
    <w:semiHidden/>
    <w:unhideWhenUsed/>
    <w:rsid w:val="00421E6F"/>
    <w:rPr>
      <w:vertAlign w:val="superscript"/>
    </w:rPr>
  </w:style>
  <w:style w:type="numbering" w:customStyle="1" w:styleId="NoList1">
    <w:name w:val="No List1"/>
    <w:next w:val="NoList"/>
    <w:uiPriority w:val="99"/>
    <w:semiHidden/>
    <w:unhideWhenUsed/>
    <w:rsid w:val="00672C03"/>
  </w:style>
  <w:style w:type="table" w:customStyle="1" w:styleId="TableGrid2">
    <w:name w:val="Table Grid2"/>
    <w:basedOn w:val="TableNormal"/>
    <w:next w:val="TableGrid"/>
    <w:uiPriority w:val="39"/>
    <w:rsid w:val="00672C03"/>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72C03"/>
    <w:pPr>
      <w:spacing w:line="240" w:lineRule="auto"/>
    </w:pPr>
    <w:rPr>
      <w:rFonts w:ascii="Times New Roman" w:hAnsi="Times New Roman" w:cs="Times New Roman"/>
      <w:color w:val="aut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DELWPHeadings2">
    <w:name w:val="DELWP Headings2"/>
    <w:basedOn w:val="NoList"/>
    <w:rsid w:val="00672C03"/>
    <w:pPr>
      <w:numPr>
        <w:numId w:val="8"/>
      </w:numPr>
    </w:pPr>
  </w:style>
  <w:style w:type="table" w:customStyle="1" w:styleId="TableGrid11">
    <w:name w:val="Table Grid11"/>
    <w:basedOn w:val="TableNormal"/>
    <w:next w:val="TableGrid"/>
    <w:rsid w:val="00672C03"/>
    <w:pPr>
      <w:spacing w:before="60" w:after="60" w:line="220" w:lineRule="atLeast"/>
      <w:ind w:left="113" w:right="113"/>
    </w:pPr>
    <w:rPr>
      <w:rFonts w:ascii="Arial" w:hAnsi="Arial" w:cs="Times New Roman"/>
      <w:color w:val="363534"/>
      <w:sz w:val="18"/>
    </w:rPr>
    <w:tblPr>
      <w:tblStyleColBandSize w:val="1"/>
      <w:tblBorders>
        <w:top w:val="single" w:sz="8" w:space="0" w:color="0072CE"/>
        <w:bottom w:val="single" w:sz="8" w:space="0" w:color="0072CE"/>
        <w:insideH w:val="single" w:sz="8" w:space="0" w:color="0072CE"/>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72CE"/>
      </w:tcPr>
    </w:tblStylePr>
    <w:tblStylePr w:type="lastRow">
      <w:rPr>
        <w:b w:val="0"/>
      </w:rPr>
    </w:tblStylePr>
    <w:tblStylePr w:type="lastCol">
      <w:pPr>
        <w:jc w:val="left"/>
      </w:pPr>
    </w:tblStylePr>
    <w:tblStylePr w:type="band1Vert">
      <w:tblPr/>
      <w:tcPr>
        <w:shd w:val="clear" w:color="auto" w:fill="E5F1FA"/>
      </w:tcPr>
    </w:tblStylePr>
    <w:tblStylePr w:type="nwCell">
      <w:pPr>
        <w:jc w:val="left"/>
      </w:pPr>
    </w:tblStylePr>
  </w:style>
  <w:style w:type="table" w:customStyle="1" w:styleId="TableAsPlaceholder1">
    <w:name w:val="Table As Placeholder1"/>
    <w:basedOn w:val="TableNormal"/>
    <w:uiPriority w:val="99"/>
    <w:qFormat/>
    <w:rsid w:val="00672C03"/>
    <w:rPr>
      <w:rFonts w:ascii="Arial" w:hAnsi="Arial"/>
      <w:color w:val="363534"/>
    </w:rPr>
    <w:tblPr>
      <w:tblCellMar>
        <w:left w:w="0" w:type="dxa"/>
        <w:right w:w="0" w:type="dxa"/>
      </w:tblCellMar>
    </w:tblPr>
  </w:style>
  <w:style w:type="numbering" w:customStyle="1" w:styleId="DELWPHeadings11">
    <w:name w:val="DELWP Headings11"/>
    <w:basedOn w:val="NoList"/>
    <w:rsid w:val="00672C03"/>
  </w:style>
  <w:style w:type="table" w:customStyle="1" w:styleId="ListTable3-Accent61">
    <w:name w:val="List Table 3 - Accent 61"/>
    <w:basedOn w:val="TableNormal"/>
    <w:next w:val="ListTable3-Accent6"/>
    <w:uiPriority w:val="48"/>
    <w:rsid w:val="00672C03"/>
    <w:pPr>
      <w:spacing w:line="240" w:lineRule="auto"/>
    </w:pPr>
    <w:rPr>
      <w:rFonts w:eastAsia="Calibri"/>
      <w:color w:val="auto"/>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11">
    <w:name w:val="List Table 4 - Accent 11"/>
    <w:basedOn w:val="TableNormal"/>
    <w:next w:val="ListTable4-Accent1"/>
    <w:uiPriority w:val="49"/>
    <w:rsid w:val="00672C03"/>
    <w:pPr>
      <w:spacing w:line="240" w:lineRule="auto"/>
    </w:pPr>
    <w:rPr>
      <w:rFonts w:ascii="Times New Roman" w:hAnsi="Times New Roman" w:cs="Times New Roman"/>
      <w:color w:val="aut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next w:val="GridTable5Dark-Accent1"/>
    <w:uiPriority w:val="50"/>
    <w:rsid w:val="00672C03"/>
    <w:pPr>
      <w:spacing w:line="240" w:lineRule="auto"/>
    </w:pPr>
    <w:rPr>
      <w:rFonts w:ascii="Times New Roman" w:hAnsi="Times New Roman" w:cs="Times New Roman"/>
      <w:color w:val="aut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next w:val="GridTable4-Accent1"/>
    <w:uiPriority w:val="49"/>
    <w:rsid w:val="00672C03"/>
    <w:pPr>
      <w:spacing w:line="240" w:lineRule="auto"/>
    </w:pPr>
    <w:rPr>
      <w:rFonts w:eastAsia="Calibri"/>
      <w:color w:val="auto"/>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next w:val="ListTable3-Accent5"/>
    <w:uiPriority w:val="48"/>
    <w:rsid w:val="00672C03"/>
    <w:pPr>
      <w:spacing w:line="240" w:lineRule="auto"/>
    </w:pPr>
    <w:rPr>
      <w:rFonts w:eastAsia="Calibri"/>
      <w:color w:val="auto"/>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5Dark-Accent51">
    <w:name w:val="Grid Table 5 Dark - Accent 51"/>
    <w:basedOn w:val="TableNormal"/>
    <w:next w:val="GridTable5Dark-Accent5"/>
    <w:uiPriority w:val="50"/>
    <w:rsid w:val="00672C03"/>
    <w:pPr>
      <w:spacing w:line="240" w:lineRule="auto"/>
    </w:pPr>
    <w:rPr>
      <w:rFonts w:ascii="Times New Roman" w:hAnsi="Times New Roman" w:cs="Times New Roman"/>
      <w:color w:val="aut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211">
    <w:name w:val="Grid Table 4 - Accent 211"/>
    <w:basedOn w:val="TableNormal"/>
    <w:uiPriority w:val="49"/>
    <w:rsid w:val="00672C03"/>
    <w:pPr>
      <w:spacing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DD2BEA"/>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D2BEA"/>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D2BEA"/>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D2BEA"/>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2">
    <w:name w:val="List Table 4 - Accent 12"/>
    <w:basedOn w:val="TableNormal"/>
    <w:next w:val="ListTable4-Accent1"/>
    <w:uiPriority w:val="49"/>
    <w:rsid w:val="000F70D4"/>
    <w:pPr>
      <w:spacing w:line="240" w:lineRule="auto"/>
    </w:pPr>
    <w:rPr>
      <w:rFonts w:ascii="Times New Roman" w:hAnsi="Times New Roman" w:cs="Times New Roman"/>
      <w:color w:val="aut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 Grid7"/>
    <w:basedOn w:val="TableNormal"/>
    <w:next w:val="TableGrid"/>
    <w:uiPriority w:val="39"/>
    <w:rsid w:val="001B340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3">
    <w:name w:val="List Table 4 - Accent 13"/>
    <w:basedOn w:val="TableNormal"/>
    <w:next w:val="ListTable4-Accent1"/>
    <w:uiPriority w:val="49"/>
    <w:rsid w:val="003C47B0"/>
    <w:pPr>
      <w:spacing w:line="240" w:lineRule="auto"/>
    </w:pPr>
    <w:rPr>
      <w:rFonts w:ascii="Times New Roman" w:hAnsi="Times New Roman" w:cs="Times New Roman"/>
      <w:color w:val="aut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8">
    <w:name w:val="Table Grid8"/>
    <w:basedOn w:val="TableNormal"/>
    <w:next w:val="TableGrid"/>
    <w:uiPriority w:val="39"/>
    <w:rsid w:val="00347605"/>
    <w:pPr>
      <w:spacing w:line="240" w:lineRule="auto"/>
    </w:pPr>
    <w:rPr>
      <w:rFonts w:eastAsia="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E62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986">
      <w:bodyDiv w:val="1"/>
      <w:marLeft w:val="0"/>
      <w:marRight w:val="0"/>
      <w:marTop w:val="0"/>
      <w:marBottom w:val="0"/>
      <w:divBdr>
        <w:top w:val="none" w:sz="0" w:space="0" w:color="auto"/>
        <w:left w:val="none" w:sz="0" w:space="0" w:color="auto"/>
        <w:bottom w:val="none" w:sz="0" w:space="0" w:color="auto"/>
        <w:right w:val="none" w:sz="0" w:space="0" w:color="auto"/>
      </w:divBdr>
      <w:divsChild>
        <w:div w:id="133135459">
          <w:marLeft w:val="0"/>
          <w:marRight w:val="0"/>
          <w:marTop w:val="0"/>
          <w:marBottom w:val="0"/>
          <w:divBdr>
            <w:top w:val="none" w:sz="0" w:space="0" w:color="auto"/>
            <w:left w:val="none" w:sz="0" w:space="0" w:color="auto"/>
            <w:bottom w:val="none" w:sz="0" w:space="0" w:color="auto"/>
            <w:right w:val="none" w:sz="0" w:space="0" w:color="auto"/>
          </w:divBdr>
        </w:div>
        <w:div w:id="135730792">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1872477">
      <w:bodyDiv w:val="1"/>
      <w:marLeft w:val="0"/>
      <w:marRight w:val="0"/>
      <w:marTop w:val="0"/>
      <w:marBottom w:val="0"/>
      <w:divBdr>
        <w:top w:val="none" w:sz="0" w:space="0" w:color="auto"/>
        <w:left w:val="none" w:sz="0" w:space="0" w:color="auto"/>
        <w:bottom w:val="none" w:sz="0" w:space="0" w:color="auto"/>
        <w:right w:val="none" w:sz="0" w:space="0" w:color="auto"/>
      </w:divBdr>
      <w:divsChild>
        <w:div w:id="272520559">
          <w:marLeft w:val="0"/>
          <w:marRight w:val="0"/>
          <w:marTop w:val="0"/>
          <w:marBottom w:val="0"/>
          <w:divBdr>
            <w:top w:val="none" w:sz="0" w:space="0" w:color="auto"/>
            <w:left w:val="none" w:sz="0" w:space="0" w:color="auto"/>
            <w:bottom w:val="none" w:sz="0" w:space="0" w:color="auto"/>
            <w:right w:val="none" w:sz="0" w:space="0" w:color="auto"/>
          </w:divBdr>
          <w:divsChild>
            <w:div w:id="24408645">
              <w:marLeft w:val="0"/>
              <w:marRight w:val="0"/>
              <w:marTop w:val="0"/>
              <w:marBottom w:val="0"/>
              <w:divBdr>
                <w:top w:val="none" w:sz="0" w:space="0" w:color="auto"/>
                <w:left w:val="none" w:sz="0" w:space="0" w:color="auto"/>
                <w:bottom w:val="none" w:sz="0" w:space="0" w:color="auto"/>
                <w:right w:val="none" w:sz="0" w:space="0" w:color="auto"/>
              </w:divBdr>
            </w:div>
            <w:div w:id="220403989">
              <w:marLeft w:val="0"/>
              <w:marRight w:val="0"/>
              <w:marTop w:val="0"/>
              <w:marBottom w:val="0"/>
              <w:divBdr>
                <w:top w:val="none" w:sz="0" w:space="0" w:color="auto"/>
                <w:left w:val="none" w:sz="0" w:space="0" w:color="auto"/>
                <w:bottom w:val="none" w:sz="0" w:space="0" w:color="auto"/>
                <w:right w:val="none" w:sz="0" w:space="0" w:color="auto"/>
              </w:divBdr>
            </w:div>
            <w:div w:id="565530604">
              <w:marLeft w:val="0"/>
              <w:marRight w:val="0"/>
              <w:marTop w:val="0"/>
              <w:marBottom w:val="0"/>
              <w:divBdr>
                <w:top w:val="none" w:sz="0" w:space="0" w:color="auto"/>
                <w:left w:val="none" w:sz="0" w:space="0" w:color="auto"/>
                <w:bottom w:val="none" w:sz="0" w:space="0" w:color="auto"/>
                <w:right w:val="none" w:sz="0" w:space="0" w:color="auto"/>
              </w:divBdr>
            </w:div>
            <w:div w:id="590503128">
              <w:marLeft w:val="0"/>
              <w:marRight w:val="0"/>
              <w:marTop w:val="0"/>
              <w:marBottom w:val="0"/>
              <w:divBdr>
                <w:top w:val="none" w:sz="0" w:space="0" w:color="auto"/>
                <w:left w:val="none" w:sz="0" w:space="0" w:color="auto"/>
                <w:bottom w:val="none" w:sz="0" w:space="0" w:color="auto"/>
                <w:right w:val="none" w:sz="0" w:space="0" w:color="auto"/>
              </w:divBdr>
            </w:div>
            <w:div w:id="1437945281">
              <w:marLeft w:val="0"/>
              <w:marRight w:val="0"/>
              <w:marTop w:val="0"/>
              <w:marBottom w:val="0"/>
              <w:divBdr>
                <w:top w:val="none" w:sz="0" w:space="0" w:color="auto"/>
                <w:left w:val="none" w:sz="0" w:space="0" w:color="auto"/>
                <w:bottom w:val="none" w:sz="0" w:space="0" w:color="auto"/>
                <w:right w:val="none" w:sz="0" w:space="0" w:color="auto"/>
              </w:divBdr>
            </w:div>
            <w:div w:id="1835753569">
              <w:marLeft w:val="0"/>
              <w:marRight w:val="0"/>
              <w:marTop w:val="0"/>
              <w:marBottom w:val="0"/>
              <w:divBdr>
                <w:top w:val="none" w:sz="0" w:space="0" w:color="auto"/>
                <w:left w:val="none" w:sz="0" w:space="0" w:color="auto"/>
                <w:bottom w:val="none" w:sz="0" w:space="0" w:color="auto"/>
                <w:right w:val="none" w:sz="0" w:space="0" w:color="auto"/>
              </w:divBdr>
            </w:div>
            <w:div w:id="1869445458">
              <w:marLeft w:val="0"/>
              <w:marRight w:val="0"/>
              <w:marTop w:val="0"/>
              <w:marBottom w:val="0"/>
              <w:divBdr>
                <w:top w:val="none" w:sz="0" w:space="0" w:color="auto"/>
                <w:left w:val="none" w:sz="0" w:space="0" w:color="auto"/>
                <w:bottom w:val="none" w:sz="0" w:space="0" w:color="auto"/>
                <w:right w:val="none" w:sz="0" w:space="0" w:color="auto"/>
              </w:divBdr>
            </w:div>
            <w:div w:id="1876579728">
              <w:marLeft w:val="0"/>
              <w:marRight w:val="0"/>
              <w:marTop w:val="0"/>
              <w:marBottom w:val="0"/>
              <w:divBdr>
                <w:top w:val="none" w:sz="0" w:space="0" w:color="auto"/>
                <w:left w:val="none" w:sz="0" w:space="0" w:color="auto"/>
                <w:bottom w:val="none" w:sz="0" w:space="0" w:color="auto"/>
                <w:right w:val="none" w:sz="0" w:space="0" w:color="auto"/>
              </w:divBdr>
            </w:div>
            <w:div w:id="2141994135">
              <w:marLeft w:val="0"/>
              <w:marRight w:val="0"/>
              <w:marTop w:val="0"/>
              <w:marBottom w:val="0"/>
              <w:divBdr>
                <w:top w:val="none" w:sz="0" w:space="0" w:color="auto"/>
                <w:left w:val="none" w:sz="0" w:space="0" w:color="auto"/>
                <w:bottom w:val="none" w:sz="0" w:space="0" w:color="auto"/>
                <w:right w:val="none" w:sz="0" w:space="0" w:color="auto"/>
              </w:divBdr>
            </w:div>
          </w:divsChild>
        </w:div>
        <w:div w:id="2142963883">
          <w:marLeft w:val="0"/>
          <w:marRight w:val="0"/>
          <w:marTop w:val="0"/>
          <w:marBottom w:val="0"/>
          <w:divBdr>
            <w:top w:val="none" w:sz="0" w:space="0" w:color="auto"/>
            <w:left w:val="none" w:sz="0" w:space="0" w:color="auto"/>
            <w:bottom w:val="none" w:sz="0" w:space="0" w:color="auto"/>
            <w:right w:val="none" w:sz="0" w:space="0" w:color="auto"/>
          </w:divBdr>
          <w:divsChild>
            <w:div w:id="949354502">
              <w:marLeft w:val="0"/>
              <w:marRight w:val="0"/>
              <w:marTop w:val="0"/>
              <w:marBottom w:val="0"/>
              <w:divBdr>
                <w:top w:val="none" w:sz="0" w:space="0" w:color="auto"/>
                <w:left w:val="none" w:sz="0" w:space="0" w:color="auto"/>
                <w:bottom w:val="none" w:sz="0" w:space="0" w:color="auto"/>
                <w:right w:val="none" w:sz="0" w:space="0" w:color="auto"/>
              </w:divBdr>
            </w:div>
            <w:div w:id="1847865630">
              <w:marLeft w:val="0"/>
              <w:marRight w:val="0"/>
              <w:marTop w:val="0"/>
              <w:marBottom w:val="0"/>
              <w:divBdr>
                <w:top w:val="none" w:sz="0" w:space="0" w:color="auto"/>
                <w:left w:val="none" w:sz="0" w:space="0" w:color="auto"/>
                <w:bottom w:val="none" w:sz="0" w:space="0" w:color="auto"/>
                <w:right w:val="none" w:sz="0" w:space="0" w:color="auto"/>
              </w:divBdr>
            </w:div>
            <w:div w:id="19028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7100186">
      <w:bodyDiv w:val="1"/>
      <w:marLeft w:val="0"/>
      <w:marRight w:val="0"/>
      <w:marTop w:val="0"/>
      <w:marBottom w:val="0"/>
      <w:divBdr>
        <w:top w:val="none" w:sz="0" w:space="0" w:color="auto"/>
        <w:left w:val="none" w:sz="0" w:space="0" w:color="auto"/>
        <w:bottom w:val="none" w:sz="0" w:space="0" w:color="auto"/>
        <w:right w:val="none" w:sz="0" w:space="0" w:color="auto"/>
      </w:divBdr>
      <w:divsChild>
        <w:div w:id="1287929253">
          <w:marLeft w:val="0"/>
          <w:marRight w:val="0"/>
          <w:marTop w:val="0"/>
          <w:marBottom w:val="0"/>
          <w:divBdr>
            <w:top w:val="none" w:sz="0" w:space="0" w:color="auto"/>
            <w:left w:val="none" w:sz="0" w:space="0" w:color="auto"/>
            <w:bottom w:val="none" w:sz="0" w:space="0" w:color="auto"/>
            <w:right w:val="none" w:sz="0" w:space="0" w:color="auto"/>
          </w:divBdr>
          <w:divsChild>
            <w:div w:id="30883876">
              <w:marLeft w:val="0"/>
              <w:marRight w:val="0"/>
              <w:marTop w:val="0"/>
              <w:marBottom w:val="0"/>
              <w:divBdr>
                <w:top w:val="none" w:sz="0" w:space="0" w:color="auto"/>
                <w:left w:val="none" w:sz="0" w:space="0" w:color="auto"/>
                <w:bottom w:val="none" w:sz="0" w:space="0" w:color="auto"/>
                <w:right w:val="none" w:sz="0" w:space="0" w:color="auto"/>
              </w:divBdr>
            </w:div>
            <w:div w:id="213155627">
              <w:marLeft w:val="0"/>
              <w:marRight w:val="0"/>
              <w:marTop w:val="0"/>
              <w:marBottom w:val="0"/>
              <w:divBdr>
                <w:top w:val="none" w:sz="0" w:space="0" w:color="auto"/>
                <w:left w:val="none" w:sz="0" w:space="0" w:color="auto"/>
                <w:bottom w:val="none" w:sz="0" w:space="0" w:color="auto"/>
                <w:right w:val="none" w:sz="0" w:space="0" w:color="auto"/>
              </w:divBdr>
            </w:div>
            <w:div w:id="598297330">
              <w:marLeft w:val="0"/>
              <w:marRight w:val="0"/>
              <w:marTop w:val="0"/>
              <w:marBottom w:val="0"/>
              <w:divBdr>
                <w:top w:val="none" w:sz="0" w:space="0" w:color="auto"/>
                <w:left w:val="none" w:sz="0" w:space="0" w:color="auto"/>
                <w:bottom w:val="none" w:sz="0" w:space="0" w:color="auto"/>
                <w:right w:val="none" w:sz="0" w:space="0" w:color="auto"/>
              </w:divBdr>
            </w:div>
            <w:div w:id="1038358466">
              <w:marLeft w:val="0"/>
              <w:marRight w:val="0"/>
              <w:marTop w:val="0"/>
              <w:marBottom w:val="0"/>
              <w:divBdr>
                <w:top w:val="none" w:sz="0" w:space="0" w:color="auto"/>
                <w:left w:val="none" w:sz="0" w:space="0" w:color="auto"/>
                <w:bottom w:val="none" w:sz="0" w:space="0" w:color="auto"/>
                <w:right w:val="none" w:sz="0" w:space="0" w:color="auto"/>
              </w:divBdr>
            </w:div>
            <w:div w:id="1381513700">
              <w:marLeft w:val="0"/>
              <w:marRight w:val="0"/>
              <w:marTop w:val="0"/>
              <w:marBottom w:val="0"/>
              <w:divBdr>
                <w:top w:val="none" w:sz="0" w:space="0" w:color="auto"/>
                <w:left w:val="none" w:sz="0" w:space="0" w:color="auto"/>
                <w:bottom w:val="none" w:sz="0" w:space="0" w:color="auto"/>
                <w:right w:val="none" w:sz="0" w:space="0" w:color="auto"/>
              </w:divBdr>
            </w:div>
            <w:div w:id="1434474238">
              <w:marLeft w:val="0"/>
              <w:marRight w:val="0"/>
              <w:marTop w:val="0"/>
              <w:marBottom w:val="0"/>
              <w:divBdr>
                <w:top w:val="none" w:sz="0" w:space="0" w:color="auto"/>
                <w:left w:val="none" w:sz="0" w:space="0" w:color="auto"/>
                <w:bottom w:val="none" w:sz="0" w:space="0" w:color="auto"/>
                <w:right w:val="none" w:sz="0" w:space="0" w:color="auto"/>
              </w:divBdr>
            </w:div>
            <w:div w:id="1734693134">
              <w:marLeft w:val="0"/>
              <w:marRight w:val="0"/>
              <w:marTop w:val="0"/>
              <w:marBottom w:val="0"/>
              <w:divBdr>
                <w:top w:val="none" w:sz="0" w:space="0" w:color="auto"/>
                <w:left w:val="none" w:sz="0" w:space="0" w:color="auto"/>
                <w:bottom w:val="none" w:sz="0" w:space="0" w:color="auto"/>
                <w:right w:val="none" w:sz="0" w:space="0" w:color="auto"/>
              </w:divBdr>
            </w:div>
            <w:div w:id="1779452122">
              <w:marLeft w:val="0"/>
              <w:marRight w:val="0"/>
              <w:marTop w:val="0"/>
              <w:marBottom w:val="0"/>
              <w:divBdr>
                <w:top w:val="none" w:sz="0" w:space="0" w:color="auto"/>
                <w:left w:val="none" w:sz="0" w:space="0" w:color="auto"/>
                <w:bottom w:val="none" w:sz="0" w:space="0" w:color="auto"/>
                <w:right w:val="none" w:sz="0" w:space="0" w:color="auto"/>
              </w:divBdr>
            </w:div>
            <w:div w:id="1929270098">
              <w:marLeft w:val="0"/>
              <w:marRight w:val="0"/>
              <w:marTop w:val="0"/>
              <w:marBottom w:val="0"/>
              <w:divBdr>
                <w:top w:val="none" w:sz="0" w:space="0" w:color="auto"/>
                <w:left w:val="none" w:sz="0" w:space="0" w:color="auto"/>
                <w:bottom w:val="none" w:sz="0" w:space="0" w:color="auto"/>
                <w:right w:val="none" w:sz="0" w:space="0" w:color="auto"/>
              </w:divBdr>
            </w:div>
          </w:divsChild>
        </w:div>
        <w:div w:id="1930314035">
          <w:marLeft w:val="0"/>
          <w:marRight w:val="0"/>
          <w:marTop w:val="0"/>
          <w:marBottom w:val="0"/>
          <w:divBdr>
            <w:top w:val="none" w:sz="0" w:space="0" w:color="auto"/>
            <w:left w:val="none" w:sz="0" w:space="0" w:color="auto"/>
            <w:bottom w:val="none" w:sz="0" w:space="0" w:color="auto"/>
            <w:right w:val="none" w:sz="0" w:space="0" w:color="auto"/>
          </w:divBdr>
          <w:divsChild>
            <w:div w:id="88042858">
              <w:marLeft w:val="0"/>
              <w:marRight w:val="0"/>
              <w:marTop w:val="0"/>
              <w:marBottom w:val="0"/>
              <w:divBdr>
                <w:top w:val="none" w:sz="0" w:space="0" w:color="auto"/>
                <w:left w:val="none" w:sz="0" w:space="0" w:color="auto"/>
                <w:bottom w:val="none" w:sz="0" w:space="0" w:color="auto"/>
                <w:right w:val="none" w:sz="0" w:space="0" w:color="auto"/>
              </w:divBdr>
            </w:div>
            <w:div w:id="127599262">
              <w:marLeft w:val="0"/>
              <w:marRight w:val="0"/>
              <w:marTop w:val="0"/>
              <w:marBottom w:val="0"/>
              <w:divBdr>
                <w:top w:val="none" w:sz="0" w:space="0" w:color="auto"/>
                <w:left w:val="none" w:sz="0" w:space="0" w:color="auto"/>
                <w:bottom w:val="none" w:sz="0" w:space="0" w:color="auto"/>
                <w:right w:val="none" w:sz="0" w:space="0" w:color="auto"/>
              </w:divBdr>
            </w:div>
            <w:div w:id="490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203">
      <w:bodyDiv w:val="1"/>
      <w:marLeft w:val="0"/>
      <w:marRight w:val="0"/>
      <w:marTop w:val="0"/>
      <w:marBottom w:val="0"/>
      <w:divBdr>
        <w:top w:val="none" w:sz="0" w:space="0" w:color="auto"/>
        <w:left w:val="none" w:sz="0" w:space="0" w:color="auto"/>
        <w:bottom w:val="none" w:sz="0" w:space="0" w:color="auto"/>
        <w:right w:val="none" w:sz="0" w:space="0" w:color="auto"/>
      </w:divBdr>
      <w:divsChild>
        <w:div w:id="813957425">
          <w:marLeft w:val="0"/>
          <w:marRight w:val="0"/>
          <w:marTop w:val="0"/>
          <w:marBottom w:val="0"/>
          <w:divBdr>
            <w:top w:val="none" w:sz="0" w:space="0" w:color="auto"/>
            <w:left w:val="none" w:sz="0" w:space="0" w:color="auto"/>
            <w:bottom w:val="none" w:sz="0" w:space="0" w:color="auto"/>
            <w:right w:val="none" w:sz="0" w:space="0" w:color="auto"/>
          </w:divBdr>
        </w:div>
        <w:div w:id="1040279807">
          <w:marLeft w:val="0"/>
          <w:marRight w:val="0"/>
          <w:marTop w:val="0"/>
          <w:marBottom w:val="0"/>
          <w:divBdr>
            <w:top w:val="none" w:sz="0" w:space="0" w:color="auto"/>
            <w:left w:val="none" w:sz="0" w:space="0" w:color="auto"/>
            <w:bottom w:val="none" w:sz="0" w:space="0" w:color="auto"/>
            <w:right w:val="none" w:sz="0" w:space="0" w:color="auto"/>
          </w:divBdr>
        </w:div>
        <w:div w:id="1220290151">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8.png"/><Relationship Id="rId39" Type="http://schemas.openxmlformats.org/officeDocument/2006/relationships/hyperlink" Target="https://www.legislation.vic.gov.au/in-force/statutory-rules/electricity-safety-bushfire-mitigation-regulations-2013/005" TargetMode="External"/><Relationship Id="rId21" Type="http://schemas.openxmlformats.org/officeDocument/2006/relationships/image" Target="media/image4.png"/><Relationship Id="rId34" Type="http://schemas.openxmlformats.org/officeDocument/2006/relationships/footer" Target="footer4.xml"/><Relationship Id="rId42" Type="http://schemas.openxmlformats.org/officeDocument/2006/relationships/hyperlink" Target="https://aemo.com.au/en/energy-systems/electricity/national-electricity-market-nem/nem-forecasting-and-planning/forecasting-and-reliability/nem-electricity-statement-of-opportunities-esoo" TargetMode="External"/><Relationship Id="rId47" Type="http://schemas.openxmlformats.org/officeDocument/2006/relationships/hyperlink" Target="https://www.legislation.vic.gov.au/in-force/acts/gas-safety-act-1997/045" TargetMode="External"/><Relationship Id="rId50" Type="http://schemas.openxmlformats.org/officeDocument/2006/relationships/hyperlink" Target="https://www.legislation.sa.gov.au/LZ/C/A/NATIONAL%20ELECTRICITY%20(SOUTH%20AUSTRALIA)%20ACT%201996.aspx" TargetMode="External"/><Relationship Id="rId55" Type="http://schemas.openxmlformats.org/officeDocument/2006/relationships/hyperlink" Target="https://www.legislation.vic.gov.au/in-force/acts/pipelines-act-2005/017" TargetMode="External"/><Relationship Id="rId63" Type="http://schemas.openxmlformats.org/officeDocument/2006/relationships/header" Target="header6.xml"/><Relationship Id="rId68"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eader" Target="header3.xml"/><Relationship Id="rId37" Type="http://schemas.openxmlformats.org/officeDocument/2006/relationships/hyperlink" Target="https://www.emv.vic.gov.au/our-work/critical-infrastructure-resilience" TargetMode="External"/><Relationship Id="rId40" Type="http://schemas.openxmlformats.org/officeDocument/2006/relationships/hyperlink" Target="https://www.legislation.vic.gov.au/as-made/statutory-rules/electricity-safety-electric-line-clearance-regulations-2020" TargetMode="External"/><Relationship Id="rId45" Type="http://schemas.openxmlformats.org/officeDocument/2006/relationships/hyperlink" Target="https://www.legislation.vic.gov.au/in-force/acts/fuel-emergency-act-1977/015" TargetMode="External"/><Relationship Id="rId53" Type="http://schemas.openxmlformats.org/officeDocument/2006/relationships/hyperlink" Target="https://www.environment.gov.au/system/files/energy/files/guidance-note.pdf" TargetMode="External"/><Relationship Id="rId58" Type="http://schemas.openxmlformats.org/officeDocument/2006/relationships/hyperlink" Target="https://www.aemo.com.au/-/media/Files/Electricity/NEM/Emergency_Management/2019/AEMO-Single-Industry-Spokesperson-Protocol-VIC-Electricity.pdf" TargetMode="External"/><Relationship Id="rId66"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emv.vic.gov.au/responsibilities/state-emergency-management-priorities" TargetMode="External"/><Relationship Id="rId28" Type="http://schemas.openxmlformats.org/officeDocument/2006/relationships/image" Target="media/image10.svg"/><Relationship Id="rId36" Type="http://schemas.openxmlformats.org/officeDocument/2006/relationships/footer" Target="footer5.xml"/><Relationship Id="rId49" Type="http://schemas.openxmlformats.org/officeDocument/2006/relationships/hyperlink" Target="https://www.legislation.gov.au/Details/C2019C00059" TargetMode="External"/><Relationship Id="rId57" Type="http://schemas.openxmlformats.org/officeDocument/2006/relationships/hyperlink" Target="https://www.energy.vic.gov.au/electricity/powerline-replacement" TargetMode="External"/><Relationship Id="rId61" Type="http://schemas.openxmlformats.org/officeDocument/2006/relationships/hyperlink" Target="https://www.emv.vic.gov.au/our-work/critical-infrastructure-resilience"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2.xml"/><Relationship Id="rId44" Type="http://schemas.openxmlformats.org/officeDocument/2006/relationships/hyperlink" Target="https://www.legislation.vic.gov.au/in-force/acts/environment-protection-act-2017/004" TargetMode="External"/><Relationship Id="rId52" Type="http://schemas.openxmlformats.org/officeDocument/2006/relationships/hyperlink" Target="https://www.aip.com.au/resources/national-oil-supplies-emergency-committee-nosec" TargetMode="External"/><Relationship Id="rId60" Type="http://schemas.openxmlformats.org/officeDocument/2006/relationships/hyperlink" Target="https://www.emv.vic.gov.au/responsibilities/semp" TargetMode="External"/><Relationship Id="rId65" Type="http://schemas.openxmlformats.org/officeDocument/2006/relationships/header" Target="header7.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4.xml"/><Relationship Id="rId43" Type="http://schemas.openxmlformats.org/officeDocument/2006/relationships/hyperlink" Target="https://www.legislation.vic.gov.au/in-force/acts/emergency-management-act-2013/019" TargetMode="External"/><Relationship Id="rId48" Type="http://schemas.openxmlformats.org/officeDocument/2006/relationships/hyperlink" Target="https://www.legislation.gov.au/Details/F2019L00436" TargetMode="External"/><Relationship Id="rId56" Type="http://schemas.openxmlformats.org/officeDocument/2006/relationships/hyperlink" Target="https://www.aemo.com.au/energy-systems/electricity/emergency-management/national-role" TargetMode="External"/><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aemc.gov.au/regulation/energy-rules/regulation-1"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4.0/" TargetMode="External"/><Relationship Id="rId25" Type="http://schemas.openxmlformats.org/officeDocument/2006/relationships/image" Target="media/image7.svg"/><Relationship Id="rId33" Type="http://schemas.openxmlformats.org/officeDocument/2006/relationships/footer" Target="footer3.xml"/><Relationship Id="rId38" Type="http://schemas.openxmlformats.org/officeDocument/2006/relationships/hyperlink" Target="https://www.esc.vic.gov.au/electricity-and-gas/codes-guidelines-and-policies/electricity-distribution-code" TargetMode="External"/><Relationship Id="rId46" Type="http://schemas.openxmlformats.org/officeDocument/2006/relationships/hyperlink" Target="https://www.legislation.vic.gov.au/in-force/acts/gas-industry-act-2001/065" TargetMode="External"/><Relationship Id="rId59" Type="http://schemas.openxmlformats.org/officeDocument/2006/relationships/hyperlink" Target="https://aemo.com.au/Gas/~/-/media/2D58AADB8B04406CA2E3A10D2C89C744.ashx" TargetMode="Externa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www.legislation.vic.gov.au/in-force/acts/electricity-safety-act-1998/077" TargetMode="External"/><Relationship Id="rId54" Type="http://schemas.openxmlformats.org/officeDocument/2006/relationships/hyperlink" Target="https://content.legislation.vic.gov.au/sites/default/files/2021-02/17-22sra009%20authorised.pdf" TargetMode="External"/><Relationship Id="rId6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86425CA6F44FDA3E452BC2539B6EA"/>
        <w:category>
          <w:name w:val="General"/>
          <w:gallery w:val="placeholder"/>
        </w:category>
        <w:types>
          <w:type w:val="bbPlcHdr"/>
        </w:types>
        <w:behaviors>
          <w:behavior w:val="content"/>
        </w:behaviors>
        <w:guid w:val="{F6BD7ABD-9EF0-4338-A21D-5FCD4E33ABE9}"/>
      </w:docPartPr>
      <w:docPartBody>
        <w:p w:rsidR="007B4CEA" w:rsidRDefault="00075CEB">
          <w:pPr>
            <w:pStyle w:val="D6486425CA6F44FDA3E452BC2539B6EA"/>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auto"/>
    <w:notTrueType/>
    <w:pitch w:val="variable"/>
    <w:sig w:usb0="A00002FF" w:usb1="4000005B" w:usb2="00000000" w:usb3="00000000" w:csb0="000000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B"/>
    <w:rsid w:val="00075CEB"/>
    <w:rsid w:val="000C1CA9"/>
    <w:rsid w:val="00103FF1"/>
    <w:rsid w:val="004D31ED"/>
    <w:rsid w:val="00657DB1"/>
    <w:rsid w:val="007073F1"/>
    <w:rsid w:val="00740DF7"/>
    <w:rsid w:val="007B4CEA"/>
    <w:rsid w:val="00A61E90"/>
    <w:rsid w:val="00BE372A"/>
    <w:rsid w:val="00C93BFF"/>
    <w:rsid w:val="00DF7605"/>
    <w:rsid w:val="00FC09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1CA9"/>
    <w:rPr>
      <w:color w:val="808080"/>
    </w:rPr>
  </w:style>
  <w:style w:type="paragraph" w:customStyle="1" w:styleId="D6486425CA6F44FDA3E452BC2539B6EA">
    <w:name w:val="D6486425CA6F44FDA3E452BC2539B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eeting Paper" ma:contentTypeID="0x0101002517F445A0F35E449C98AAD631F2B0387500B61690EF4C9CBE40B3C686FE18D62385" ma:contentTypeVersion="21" ma:contentTypeDescription="A meeting paper contains information specifically related to a meeting agenda item , used to brief attendees - DELWP" ma:contentTypeScope="" ma:versionID="452c5f083ef1cc03d9f88d08a2fa115a">
  <xsd:schema xmlns:xsd="http://www.w3.org/2001/XMLSchema" xmlns:xs="http://www.w3.org/2001/XMLSchema" xmlns:p="http://schemas.microsoft.com/office/2006/metadata/properties" xmlns:ns1="http://schemas.microsoft.com/sharepoint/v3" xmlns:ns2="a5f32de4-e402-4188-b034-e71ca7d22e54" xmlns:ns3="9fd47c19-1c4a-4d7d-b342-c10cef269344" xmlns:ns4="9aad2736-d7fe-4468-9539-a9349123c0ff" targetNamespace="http://schemas.microsoft.com/office/2006/metadata/properties" ma:root="true" ma:fieldsID="b560c8c3da18ec1319f336c7bbd902e2" ns1:_="" ns2:_="" ns3:_="" ns4:_="">
    <xsd:import namespace="http://schemas.microsoft.com/sharepoint/v3"/>
    <xsd:import namespace="a5f32de4-e402-4188-b034-e71ca7d22e54"/>
    <xsd:import namespace="9fd47c19-1c4a-4d7d-b342-c10cef269344"/>
    <xsd:import namespace="9aad2736-d7fe-4468-9539-a9349123c0f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3446ef8b9241d39dd3de5ea667bc9e" minOccurs="0"/>
                <xsd:element ref="ns4:Item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a15df8e-971d-4a4d-8221-fcb788bea0f2}"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a15df8e-971d-4a4d-8221-fcb788bea0f2}"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2;#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3;#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d2736-d7fe-4468-9539-a9349123c0ff" elementFormDefault="qualified">
    <xsd:import namespace="http://schemas.microsoft.com/office/2006/documentManagement/types"/>
    <xsd:import namespace="http://schemas.microsoft.com/office/infopath/2007/PartnerControls"/>
    <xsd:element name="me3446ef8b9241d39dd3de5ea667bc9e" ma:index="31" nillable="true" ma:taxonomy="true" ma:internalName="me3446ef8b9241d39dd3de5ea667bc9e" ma:taxonomyFieldName="Category" ma:displayName="Category" ma:default="" ma:fieldId="{6e3446ef-8b92-41d3-9dd3-de5ea667bc9e}" ma:sspId="797aeec6-0273-40f2-ab3e-beee73212332" ma:termSetId="08ef28ca-2354-4613-96ae-b582558a241a" ma:anchorId="909e7612-d28c-4009-bb6c-fe7ecad363eb" ma:open="true" ma:isKeyword="false">
      <xsd:complexType>
        <xsd:sequence>
          <xsd:element ref="pc:Terms" minOccurs="0" maxOccurs="1"/>
        </xsd:sequence>
      </xsd:complexType>
    </xsd:element>
    <xsd:element name="Item_x0023_" ma:index="33" nillable="true" ma:displayName="Item #" ma:format="Dropdown" ma:internalName="Item_x0023_"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75" PreviousValue="false"/>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13</Value>
      <Value>12</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me3446ef8b9241d39dd3de5ea667bc9e xmlns="9aad2736-d7fe-4468-9539-a9349123c0ff">
      <Terms xmlns="http://schemas.microsoft.com/office/infopath/2007/PartnerControls"/>
    </me3446ef8b9241d39dd3de5ea667bc9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Item_x0023_ xmlns="9aad2736-d7fe-4468-9539-a9349123c0ff" xsi:nil="true"/>
    <_dlc_DocId xmlns="a5f32de4-e402-4188-b034-e71ca7d22e54">DOCID431-1275359991-1824</_dlc_DocId>
    <_dlc_DocIdUrl xmlns="a5f32de4-e402-4188-b034-e71ca7d22e54">
      <Url>https://delwpvicgovau.sharepoint.com/sites/ecm_431/_layouts/15/DocIdRedir.aspx?ID=DOCID431-1275359991-1824</Url>
      <Description>DOCID431-1275359991-1824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78C5-A968-47E7-9A87-3806AC1E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aad2736-d7fe-4468-9539-a9349123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882E-5FCF-477E-A23E-753F54A82EEA}">
  <ds:schemaRefs>
    <ds:schemaRef ds:uri="http://schemas.microsoft.com/sharepoint/v3/contenttype/forms"/>
  </ds:schemaRefs>
</ds:datastoreItem>
</file>

<file path=customXml/itemProps3.xml><?xml version="1.0" encoding="utf-8"?>
<ds:datastoreItem xmlns:ds="http://schemas.openxmlformats.org/officeDocument/2006/customXml" ds:itemID="{495C7849-4BE6-4FF8-9260-A7A3B30B15BE}">
  <ds:schemaRefs>
    <ds:schemaRef ds:uri="http://schemas.microsoft.com/office/2006/metadata/customXsn"/>
  </ds:schemaRefs>
</ds:datastoreItem>
</file>

<file path=customXml/itemProps4.xml><?xml version="1.0" encoding="utf-8"?>
<ds:datastoreItem xmlns:ds="http://schemas.openxmlformats.org/officeDocument/2006/customXml" ds:itemID="{4AB4EBE4-6997-43A5-BE51-A8E896564552}">
  <ds:schemaRefs>
    <ds:schemaRef ds:uri="Microsoft.SharePoint.Taxonomy.ContentTypeSync"/>
  </ds:schemaRefs>
</ds:datastoreItem>
</file>

<file path=customXml/itemProps5.xml><?xml version="1.0" encoding="utf-8"?>
<ds:datastoreItem xmlns:ds="http://schemas.openxmlformats.org/officeDocument/2006/customXml" ds:itemID="{33A01C64-4685-4977-89BB-062035459706}">
  <ds:schemaRefs>
    <ds:schemaRef ds:uri="http://schemas.microsoft.com/office/2006/metadata/properties"/>
    <ds:schemaRef ds:uri="http://schemas.microsoft.com/office/infopath/2007/PartnerControls"/>
    <ds:schemaRef ds:uri="http://schemas.microsoft.com/sharepoint/v3"/>
    <ds:schemaRef ds:uri="9fd47c19-1c4a-4d7d-b342-c10cef269344"/>
    <ds:schemaRef ds:uri="9aad2736-d7fe-4468-9539-a9349123c0ff"/>
    <ds:schemaRef ds:uri="a5f32de4-e402-4188-b034-e71ca7d22e54"/>
  </ds:schemaRefs>
</ds:datastoreItem>
</file>

<file path=customXml/itemProps6.xml><?xml version="1.0" encoding="utf-8"?>
<ds:datastoreItem xmlns:ds="http://schemas.openxmlformats.org/officeDocument/2006/customXml" ds:itemID="{692A8CF5-F171-4952-9ABE-F7A7B19A3A68}">
  <ds:schemaRefs>
    <ds:schemaRef ds:uri="http://schemas.microsoft.com/sharepoint/events"/>
  </ds:schemaRefs>
</ds:datastoreItem>
</file>

<file path=customXml/itemProps7.xml><?xml version="1.0" encoding="utf-8"?>
<ds:datastoreItem xmlns:ds="http://schemas.openxmlformats.org/officeDocument/2006/customXml" ds:itemID="{E0446F59-ABD6-49FF-A3C0-EEF70B17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44</Pages>
  <Words>13839</Words>
  <Characters>91510</Characters>
  <DocSecurity>0</DocSecurity>
  <Lines>762</Lines>
  <Paragraphs>210</Paragraphs>
  <ScaleCrop>false</ScaleCrop>
  <Company/>
  <LinksUpToDate>false</LinksUpToDate>
  <CharactersWithSpaces>105139</CharactersWithSpaces>
  <SharedDoc>false</SharedDoc>
  <HLinks>
    <vt:vector size="582" baseType="variant">
      <vt:variant>
        <vt:i4>4325376</vt:i4>
      </vt:variant>
      <vt:variant>
        <vt:i4>564</vt:i4>
      </vt:variant>
      <vt:variant>
        <vt:i4>0</vt:i4>
      </vt:variant>
      <vt:variant>
        <vt:i4>5</vt:i4>
      </vt:variant>
      <vt:variant>
        <vt:lpwstr>https://www.emv.vic.gov.au/how-we-help/emergency-management-planning/planning-guidelines</vt:lpwstr>
      </vt:variant>
      <vt:variant>
        <vt:lpwstr/>
      </vt:variant>
      <vt:variant>
        <vt:i4>7077999</vt:i4>
      </vt:variant>
      <vt:variant>
        <vt:i4>516</vt:i4>
      </vt:variant>
      <vt:variant>
        <vt:i4>0</vt:i4>
      </vt:variant>
      <vt:variant>
        <vt:i4>5</vt:i4>
      </vt:variant>
      <vt:variant>
        <vt:lpwstr>https://www.emv.vic.gov.au/our-work/critical-infrastructure-resilience</vt:lpwstr>
      </vt:variant>
      <vt:variant>
        <vt:lpwstr/>
      </vt:variant>
      <vt:variant>
        <vt:i4>4194319</vt:i4>
      </vt:variant>
      <vt:variant>
        <vt:i4>513</vt:i4>
      </vt:variant>
      <vt:variant>
        <vt:i4>0</vt:i4>
      </vt:variant>
      <vt:variant>
        <vt:i4>5</vt:i4>
      </vt:variant>
      <vt:variant>
        <vt:lpwstr>https://www.emv.vic.gov.au/responsibilities/semp</vt:lpwstr>
      </vt:variant>
      <vt:variant>
        <vt:lpwstr/>
      </vt:variant>
      <vt:variant>
        <vt:i4>6815780</vt:i4>
      </vt:variant>
      <vt:variant>
        <vt:i4>510</vt:i4>
      </vt:variant>
      <vt:variant>
        <vt:i4>0</vt:i4>
      </vt:variant>
      <vt:variant>
        <vt:i4>5</vt:i4>
      </vt:variant>
      <vt:variant>
        <vt:lpwstr>https://aemo.com.au/Gas/~/-/media/2D58AADB8B04406CA2E3A10D2C89C744.ashx</vt:lpwstr>
      </vt:variant>
      <vt:variant>
        <vt:lpwstr/>
      </vt:variant>
      <vt:variant>
        <vt:i4>4325496</vt:i4>
      </vt:variant>
      <vt:variant>
        <vt:i4>507</vt:i4>
      </vt:variant>
      <vt:variant>
        <vt:i4>0</vt:i4>
      </vt:variant>
      <vt:variant>
        <vt:i4>5</vt:i4>
      </vt:variant>
      <vt:variant>
        <vt:lpwstr>https://www.aemo.com.au/-/media/Files/Electricity/NEM/Emergency_Management/2019/AEMO-Single-Industry-Spokesperson-Protocol-VIC-Electricity.pdf</vt:lpwstr>
      </vt:variant>
      <vt:variant>
        <vt:lpwstr/>
      </vt:variant>
      <vt:variant>
        <vt:i4>7209069</vt:i4>
      </vt:variant>
      <vt:variant>
        <vt:i4>504</vt:i4>
      </vt:variant>
      <vt:variant>
        <vt:i4>0</vt:i4>
      </vt:variant>
      <vt:variant>
        <vt:i4>5</vt:i4>
      </vt:variant>
      <vt:variant>
        <vt:lpwstr>https://www.energy.vic.gov.au/electricity/powerline-replacement</vt:lpwstr>
      </vt:variant>
      <vt:variant>
        <vt:lpwstr/>
      </vt:variant>
      <vt:variant>
        <vt:i4>5242880</vt:i4>
      </vt:variant>
      <vt:variant>
        <vt:i4>501</vt:i4>
      </vt:variant>
      <vt:variant>
        <vt:i4>0</vt:i4>
      </vt:variant>
      <vt:variant>
        <vt:i4>5</vt:i4>
      </vt:variant>
      <vt:variant>
        <vt:lpwstr>https://www.aemo.com.au/energy-systems/electricity/emergency-management/national-role</vt:lpwstr>
      </vt:variant>
      <vt:variant>
        <vt:lpwstr/>
      </vt:variant>
      <vt:variant>
        <vt:i4>6357095</vt:i4>
      </vt:variant>
      <vt:variant>
        <vt:i4>498</vt:i4>
      </vt:variant>
      <vt:variant>
        <vt:i4>0</vt:i4>
      </vt:variant>
      <vt:variant>
        <vt:i4>5</vt:i4>
      </vt:variant>
      <vt:variant>
        <vt:lpwstr>https://www.legislation.vic.gov.au/in-force/acts/pipelines-act-2005/017</vt:lpwstr>
      </vt:variant>
      <vt:variant>
        <vt:lpwstr/>
      </vt:variant>
      <vt:variant>
        <vt:i4>1310814</vt:i4>
      </vt:variant>
      <vt:variant>
        <vt:i4>495</vt:i4>
      </vt:variant>
      <vt:variant>
        <vt:i4>0</vt:i4>
      </vt:variant>
      <vt:variant>
        <vt:i4>5</vt:i4>
      </vt:variant>
      <vt:variant>
        <vt:lpwstr>https://content.legislation.vic.gov.au/sites/default/files/2021-02/17-22sra009 authorised.pdf</vt:lpwstr>
      </vt:variant>
      <vt:variant>
        <vt:lpwstr/>
      </vt:variant>
      <vt:variant>
        <vt:i4>7405625</vt:i4>
      </vt:variant>
      <vt:variant>
        <vt:i4>492</vt:i4>
      </vt:variant>
      <vt:variant>
        <vt:i4>0</vt:i4>
      </vt:variant>
      <vt:variant>
        <vt:i4>5</vt:i4>
      </vt:variant>
      <vt:variant>
        <vt:lpwstr>https://www.environment.gov.au/system/files/energy/files/guidance-note.pdf</vt:lpwstr>
      </vt:variant>
      <vt:variant>
        <vt:lpwstr/>
      </vt:variant>
      <vt:variant>
        <vt:i4>4521997</vt:i4>
      </vt:variant>
      <vt:variant>
        <vt:i4>489</vt:i4>
      </vt:variant>
      <vt:variant>
        <vt:i4>0</vt:i4>
      </vt:variant>
      <vt:variant>
        <vt:i4>5</vt:i4>
      </vt:variant>
      <vt:variant>
        <vt:lpwstr>https://www.aip.com.au/resources/national-oil-supplies-emergency-committee-nosec</vt:lpwstr>
      </vt:variant>
      <vt:variant>
        <vt:lpwstr/>
      </vt:variant>
      <vt:variant>
        <vt:i4>5570652</vt:i4>
      </vt:variant>
      <vt:variant>
        <vt:i4>486</vt:i4>
      </vt:variant>
      <vt:variant>
        <vt:i4>0</vt:i4>
      </vt:variant>
      <vt:variant>
        <vt:i4>5</vt:i4>
      </vt:variant>
      <vt:variant>
        <vt:lpwstr>https://www.aemc.gov.au/regulation/energy-rules/regulation-1</vt:lpwstr>
      </vt:variant>
      <vt:variant>
        <vt:lpwstr/>
      </vt:variant>
      <vt:variant>
        <vt:i4>5963776</vt:i4>
      </vt:variant>
      <vt:variant>
        <vt:i4>483</vt:i4>
      </vt:variant>
      <vt:variant>
        <vt:i4>0</vt:i4>
      </vt:variant>
      <vt:variant>
        <vt:i4>5</vt:i4>
      </vt:variant>
      <vt:variant>
        <vt:lpwstr>https://www.legislation.sa.gov.au/LZ/C/A/NATIONAL ELECTRICITY (SOUTH AUSTRALIA) ACT 1996.aspx</vt:lpwstr>
      </vt:variant>
      <vt:variant>
        <vt:lpwstr/>
      </vt:variant>
      <vt:variant>
        <vt:i4>7340067</vt:i4>
      </vt:variant>
      <vt:variant>
        <vt:i4>480</vt:i4>
      </vt:variant>
      <vt:variant>
        <vt:i4>0</vt:i4>
      </vt:variant>
      <vt:variant>
        <vt:i4>5</vt:i4>
      </vt:variant>
      <vt:variant>
        <vt:lpwstr>https://www.legislation.gov.au/Details/C2019C00059</vt:lpwstr>
      </vt:variant>
      <vt:variant>
        <vt:lpwstr/>
      </vt:variant>
      <vt:variant>
        <vt:i4>8257578</vt:i4>
      </vt:variant>
      <vt:variant>
        <vt:i4>477</vt:i4>
      </vt:variant>
      <vt:variant>
        <vt:i4>0</vt:i4>
      </vt:variant>
      <vt:variant>
        <vt:i4>5</vt:i4>
      </vt:variant>
      <vt:variant>
        <vt:lpwstr>https://www.legislation.gov.au/Details/F2019L00436</vt:lpwstr>
      </vt:variant>
      <vt:variant>
        <vt:lpwstr/>
      </vt:variant>
      <vt:variant>
        <vt:i4>262150</vt:i4>
      </vt:variant>
      <vt:variant>
        <vt:i4>474</vt:i4>
      </vt:variant>
      <vt:variant>
        <vt:i4>0</vt:i4>
      </vt:variant>
      <vt:variant>
        <vt:i4>5</vt:i4>
      </vt:variant>
      <vt:variant>
        <vt:lpwstr>https://www.legislation.vic.gov.au/in-force/acts/gas-safety-act-1997/045</vt:lpwstr>
      </vt:variant>
      <vt:variant>
        <vt:lpwstr/>
      </vt:variant>
      <vt:variant>
        <vt:i4>6684773</vt:i4>
      </vt:variant>
      <vt:variant>
        <vt:i4>471</vt:i4>
      </vt:variant>
      <vt:variant>
        <vt:i4>0</vt:i4>
      </vt:variant>
      <vt:variant>
        <vt:i4>5</vt:i4>
      </vt:variant>
      <vt:variant>
        <vt:lpwstr>https://www.legislation.vic.gov.au/in-force/acts/gas-industry-act-2001/065</vt:lpwstr>
      </vt:variant>
      <vt:variant>
        <vt:lpwstr/>
      </vt:variant>
      <vt:variant>
        <vt:i4>4587605</vt:i4>
      </vt:variant>
      <vt:variant>
        <vt:i4>468</vt:i4>
      </vt:variant>
      <vt:variant>
        <vt:i4>0</vt:i4>
      </vt:variant>
      <vt:variant>
        <vt:i4>5</vt:i4>
      </vt:variant>
      <vt:variant>
        <vt:lpwstr>https://www.legislation.vic.gov.au/in-force/acts/fuel-emergency-act-1977/015</vt:lpwstr>
      </vt:variant>
      <vt:variant>
        <vt:lpwstr/>
      </vt:variant>
      <vt:variant>
        <vt:i4>393244</vt:i4>
      </vt:variant>
      <vt:variant>
        <vt:i4>465</vt:i4>
      </vt:variant>
      <vt:variant>
        <vt:i4>0</vt:i4>
      </vt:variant>
      <vt:variant>
        <vt:i4>5</vt:i4>
      </vt:variant>
      <vt:variant>
        <vt:lpwstr>https://www.legislation.vic.gov.au/in-force/acts/environment-protection-act-2017/004</vt:lpwstr>
      </vt:variant>
      <vt:variant>
        <vt:lpwstr/>
      </vt:variant>
      <vt:variant>
        <vt:i4>6750329</vt:i4>
      </vt:variant>
      <vt:variant>
        <vt:i4>462</vt:i4>
      </vt:variant>
      <vt:variant>
        <vt:i4>0</vt:i4>
      </vt:variant>
      <vt:variant>
        <vt:i4>5</vt:i4>
      </vt:variant>
      <vt:variant>
        <vt:lpwstr>https://www.legislation.vic.gov.au/in-force/acts/emergency-management-act-2013/019</vt:lpwstr>
      </vt:variant>
      <vt:variant>
        <vt:lpwstr/>
      </vt:variant>
      <vt:variant>
        <vt:i4>3276851</vt:i4>
      </vt:variant>
      <vt:variant>
        <vt:i4>459</vt:i4>
      </vt:variant>
      <vt:variant>
        <vt:i4>0</vt:i4>
      </vt:variant>
      <vt:variant>
        <vt:i4>5</vt:i4>
      </vt:variant>
      <vt:variant>
        <vt:lpwstr>https://aemo.com.au/en/energy-systems/electricity/national-electricity-market-nem/nem-forecasting-and-planning/forecasting-and-reliability/nem-electricity-statement-of-opportunities-esoo</vt:lpwstr>
      </vt:variant>
      <vt:variant>
        <vt:lpwstr/>
      </vt:variant>
      <vt:variant>
        <vt:i4>1048590</vt:i4>
      </vt:variant>
      <vt:variant>
        <vt:i4>456</vt:i4>
      </vt:variant>
      <vt:variant>
        <vt:i4>0</vt:i4>
      </vt:variant>
      <vt:variant>
        <vt:i4>5</vt:i4>
      </vt:variant>
      <vt:variant>
        <vt:lpwstr>https://www.legislation.vic.gov.au/in-force/acts/electricity-safety-act-1998/077</vt:lpwstr>
      </vt:variant>
      <vt:variant>
        <vt:lpwstr/>
      </vt:variant>
      <vt:variant>
        <vt:i4>3342397</vt:i4>
      </vt:variant>
      <vt:variant>
        <vt:i4>453</vt:i4>
      </vt:variant>
      <vt:variant>
        <vt:i4>0</vt:i4>
      </vt:variant>
      <vt:variant>
        <vt:i4>5</vt:i4>
      </vt:variant>
      <vt:variant>
        <vt:lpwstr>https://www.legislation.vic.gov.au/as-made/statutory-rules/electricity-safety-electric-line-clearance-regulations-2020</vt:lpwstr>
      </vt:variant>
      <vt:variant>
        <vt:lpwstr/>
      </vt:variant>
      <vt:variant>
        <vt:i4>6553703</vt:i4>
      </vt:variant>
      <vt:variant>
        <vt:i4>450</vt:i4>
      </vt:variant>
      <vt:variant>
        <vt:i4>0</vt:i4>
      </vt:variant>
      <vt:variant>
        <vt:i4>5</vt:i4>
      </vt:variant>
      <vt:variant>
        <vt:lpwstr>https://www.legislation.vic.gov.au/in-force/statutory-rules/electricity-safety-bushfire-mitigation-regulations-2013/005</vt:lpwstr>
      </vt:variant>
      <vt:variant>
        <vt:lpwstr/>
      </vt:variant>
      <vt:variant>
        <vt:i4>2949239</vt:i4>
      </vt:variant>
      <vt:variant>
        <vt:i4>447</vt:i4>
      </vt:variant>
      <vt:variant>
        <vt:i4>0</vt:i4>
      </vt:variant>
      <vt:variant>
        <vt:i4>5</vt:i4>
      </vt:variant>
      <vt:variant>
        <vt:lpwstr>https://www.esc.vic.gov.au/electricity-and-gas/codes-guidelines-and-policies/electricity-distribution-code</vt:lpwstr>
      </vt:variant>
      <vt:variant>
        <vt:lpwstr/>
      </vt:variant>
      <vt:variant>
        <vt:i4>7077999</vt:i4>
      </vt:variant>
      <vt:variant>
        <vt:i4>444</vt:i4>
      </vt:variant>
      <vt:variant>
        <vt:i4>0</vt:i4>
      </vt:variant>
      <vt:variant>
        <vt:i4>5</vt:i4>
      </vt:variant>
      <vt:variant>
        <vt:lpwstr>https://www.emv.vic.gov.au/our-work/critical-infrastructure-resilience</vt:lpwstr>
      </vt:variant>
      <vt:variant>
        <vt:lpwstr/>
      </vt:variant>
      <vt:variant>
        <vt:i4>4325441</vt:i4>
      </vt:variant>
      <vt:variant>
        <vt:i4>435</vt:i4>
      </vt:variant>
      <vt:variant>
        <vt:i4>0</vt:i4>
      </vt:variant>
      <vt:variant>
        <vt:i4>5</vt:i4>
      </vt:variant>
      <vt:variant>
        <vt:lpwstr>https://www.emv.vic.gov.au/responsibilities/state-emergency-management-priorities</vt:lpwstr>
      </vt:variant>
      <vt:variant>
        <vt:lpwstr/>
      </vt:variant>
      <vt:variant>
        <vt:i4>1638459</vt:i4>
      </vt:variant>
      <vt:variant>
        <vt:i4>404</vt:i4>
      </vt:variant>
      <vt:variant>
        <vt:i4>0</vt:i4>
      </vt:variant>
      <vt:variant>
        <vt:i4>5</vt:i4>
      </vt:variant>
      <vt:variant>
        <vt:lpwstr/>
      </vt:variant>
      <vt:variant>
        <vt:lpwstr>_Toc94013219</vt:lpwstr>
      </vt:variant>
      <vt:variant>
        <vt:i4>1572923</vt:i4>
      </vt:variant>
      <vt:variant>
        <vt:i4>398</vt:i4>
      </vt:variant>
      <vt:variant>
        <vt:i4>0</vt:i4>
      </vt:variant>
      <vt:variant>
        <vt:i4>5</vt:i4>
      </vt:variant>
      <vt:variant>
        <vt:lpwstr/>
      </vt:variant>
      <vt:variant>
        <vt:lpwstr>_Toc94013218</vt:lpwstr>
      </vt:variant>
      <vt:variant>
        <vt:i4>1507387</vt:i4>
      </vt:variant>
      <vt:variant>
        <vt:i4>392</vt:i4>
      </vt:variant>
      <vt:variant>
        <vt:i4>0</vt:i4>
      </vt:variant>
      <vt:variant>
        <vt:i4>5</vt:i4>
      </vt:variant>
      <vt:variant>
        <vt:lpwstr/>
      </vt:variant>
      <vt:variant>
        <vt:lpwstr>_Toc94013217</vt:lpwstr>
      </vt:variant>
      <vt:variant>
        <vt:i4>1441851</vt:i4>
      </vt:variant>
      <vt:variant>
        <vt:i4>386</vt:i4>
      </vt:variant>
      <vt:variant>
        <vt:i4>0</vt:i4>
      </vt:variant>
      <vt:variant>
        <vt:i4>5</vt:i4>
      </vt:variant>
      <vt:variant>
        <vt:lpwstr/>
      </vt:variant>
      <vt:variant>
        <vt:lpwstr>_Toc94013216</vt:lpwstr>
      </vt:variant>
      <vt:variant>
        <vt:i4>1376315</vt:i4>
      </vt:variant>
      <vt:variant>
        <vt:i4>380</vt:i4>
      </vt:variant>
      <vt:variant>
        <vt:i4>0</vt:i4>
      </vt:variant>
      <vt:variant>
        <vt:i4>5</vt:i4>
      </vt:variant>
      <vt:variant>
        <vt:lpwstr/>
      </vt:variant>
      <vt:variant>
        <vt:lpwstr>_Toc94013215</vt:lpwstr>
      </vt:variant>
      <vt:variant>
        <vt:i4>1310779</vt:i4>
      </vt:variant>
      <vt:variant>
        <vt:i4>374</vt:i4>
      </vt:variant>
      <vt:variant>
        <vt:i4>0</vt:i4>
      </vt:variant>
      <vt:variant>
        <vt:i4>5</vt:i4>
      </vt:variant>
      <vt:variant>
        <vt:lpwstr/>
      </vt:variant>
      <vt:variant>
        <vt:lpwstr>_Toc94013214</vt:lpwstr>
      </vt:variant>
      <vt:variant>
        <vt:i4>1245243</vt:i4>
      </vt:variant>
      <vt:variant>
        <vt:i4>368</vt:i4>
      </vt:variant>
      <vt:variant>
        <vt:i4>0</vt:i4>
      </vt:variant>
      <vt:variant>
        <vt:i4>5</vt:i4>
      </vt:variant>
      <vt:variant>
        <vt:lpwstr/>
      </vt:variant>
      <vt:variant>
        <vt:lpwstr>_Toc94013213</vt:lpwstr>
      </vt:variant>
      <vt:variant>
        <vt:i4>1179707</vt:i4>
      </vt:variant>
      <vt:variant>
        <vt:i4>362</vt:i4>
      </vt:variant>
      <vt:variant>
        <vt:i4>0</vt:i4>
      </vt:variant>
      <vt:variant>
        <vt:i4>5</vt:i4>
      </vt:variant>
      <vt:variant>
        <vt:lpwstr/>
      </vt:variant>
      <vt:variant>
        <vt:lpwstr>_Toc94013212</vt:lpwstr>
      </vt:variant>
      <vt:variant>
        <vt:i4>1114171</vt:i4>
      </vt:variant>
      <vt:variant>
        <vt:i4>356</vt:i4>
      </vt:variant>
      <vt:variant>
        <vt:i4>0</vt:i4>
      </vt:variant>
      <vt:variant>
        <vt:i4>5</vt:i4>
      </vt:variant>
      <vt:variant>
        <vt:lpwstr/>
      </vt:variant>
      <vt:variant>
        <vt:lpwstr>_Toc94013211</vt:lpwstr>
      </vt:variant>
      <vt:variant>
        <vt:i4>1048635</vt:i4>
      </vt:variant>
      <vt:variant>
        <vt:i4>350</vt:i4>
      </vt:variant>
      <vt:variant>
        <vt:i4>0</vt:i4>
      </vt:variant>
      <vt:variant>
        <vt:i4>5</vt:i4>
      </vt:variant>
      <vt:variant>
        <vt:lpwstr/>
      </vt:variant>
      <vt:variant>
        <vt:lpwstr>_Toc94013210</vt:lpwstr>
      </vt:variant>
      <vt:variant>
        <vt:i4>1638458</vt:i4>
      </vt:variant>
      <vt:variant>
        <vt:i4>344</vt:i4>
      </vt:variant>
      <vt:variant>
        <vt:i4>0</vt:i4>
      </vt:variant>
      <vt:variant>
        <vt:i4>5</vt:i4>
      </vt:variant>
      <vt:variant>
        <vt:lpwstr/>
      </vt:variant>
      <vt:variant>
        <vt:lpwstr>_Toc94013209</vt:lpwstr>
      </vt:variant>
      <vt:variant>
        <vt:i4>1572922</vt:i4>
      </vt:variant>
      <vt:variant>
        <vt:i4>338</vt:i4>
      </vt:variant>
      <vt:variant>
        <vt:i4>0</vt:i4>
      </vt:variant>
      <vt:variant>
        <vt:i4>5</vt:i4>
      </vt:variant>
      <vt:variant>
        <vt:lpwstr/>
      </vt:variant>
      <vt:variant>
        <vt:lpwstr>_Toc94013208</vt:lpwstr>
      </vt:variant>
      <vt:variant>
        <vt:i4>1507386</vt:i4>
      </vt:variant>
      <vt:variant>
        <vt:i4>332</vt:i4>
      </vt:variant>
      <vt:variant>
        <vt:i4>0</vt:i4>
      </vt:variant>
      <vt:variant>
        <vt:i4>5</vt:i4>
      </vt:variant>
      <vt:variant>
        <vt:lpwstr/>
      </vt:variant>
      <vt:variant>
        <vt:lpwstr>_Toc94013207</vt:lpwstr>
      </vt:variant>
      <vt:variant>
        <vt:i4>1441850</vt:i4>
      </vt:variant>
      <vt:variant>
        <vt:i4>326</vt:i4>
      </vt:variant>
      <vt:variant>
        <vt:i4>0</vt:i4>
      </vt:variant>
      <vt:variant>
        <vt:i4>5</vt:i4>
      </vt:variant>
      <vt:variant>
        <vt:lpwstr/>
      </vt:variant>
      <vt:variant>
        <vt:lpwstr>_Toc94013206</vt:lpwstr>
      </vt:variant>
      <vt:variant>
        <vt:i4>1376314</vt:i4>
      </vt:variant>
      <vt:variant>
        <vt:i4>320</vt:i4>
      </vt:variant>
      <vt:variant>
        <vt:i4>0</vt:i4>
      </vt:variant>
      <vt:variant>
        <vt:i4>5</vt:i4>
      </vt:variant>
      <vt:variant>
        <vt:lpwstr/>
      </vt:variant>
      <vt:variant>
        <vt:lpwstr>_Toc94013205</vt:lpwstr>
      </vt:variant>
      <vt:variant>
        <vt:i4>1310778</vt:i4>
      </vt:variant>
      <vt:variant>
        <vt:i4>314</vt:i4>
      </vt:variant>
      <vt:variant>
        <vt:i4>0</vt:i4>
      </vt:variant>
      <vt:variant>
        <vt:i4>5</vt:i4>
      </vt:variant>
      <vt:variant>
        <vt:lpwstr/>
      </vt:variant>
      <vt:variant>
        <vt:lpwstr>_Toc94013204</vt:lpwstr>
      </vt:variant>
      <vt:variant>
        <vt:i4>1245242</vt:i4>
      </vt:variant>
      <vt:variant>
        <vt:i4>308</vt:i4>
      </vt:variant>
      <vt:variant>
        <vt:i4>0</vt:i4>
      </vt:variant>
      <vt:variant>
        <vt:i4>5</vt:i4>
      </vt:variant>
      <vt:variant>
        <vt:lpwstr/>
      </vt:variant>
      <vt:variant>
        <vt:lpwstr>_Toc94013203</vt:lpwstr>
      </vt:variant>
      <vt:variant>
        <vt:i4>1179706</vt:i4>
      </vt:variant>
      <vt:variant>
        <vt:i4>302</vt:i4>
      </vt:variant>
      <vt:variant>
        <vt:i4>0</vt:i4>
      </vt:variant>
      <vt:variant>
        <vt:i4>5</vt:i4>
      </vt:variant>
      <vt:variant>
        <vt:lpwstr/>
      </vt:variant>
      <vt:variant>
        <vt:lpwstr>_Toc94013202</vt:lpwstr>
      </vt:variant>
      <vt:variant>
        <vt:i4>1114170</vt:i4>
      </vt:variant>
      <vt:variant>
        <vt:i4>296</vt:i4>
      </vt:variant>
      <vt:variant>
        <vt:i4>0</vt:i4>
      </vt:variant>
      <vt:variant>
        <vt:i4>5</vt:i4>
      </vt:variant>
      <vt:variant>
        <vt:lpwstr/>
      </vt:variant>
      <vt:variant>
        <vt:lpwstr>_Toc94013201</vt:lpwstr>
      </vt:variant>
      <vt:variant>
        <vt:i4>1048634</vt:i4>
      </vt:variant>
      <vt:variant>
        <vt:i4>290</vt:i4>
      </vt:variant>
      <vt:variant>
        <vt:i4>0</vt:i4>
      </vt:variant>
      <vt:variant>
        <vt:i4>5</vt:i4>
      </vt:variant>
      <vt:variant>
        <vt:lpwstr/>
      </vt:variant>
      <vt:variant>
        <vt:lpwstr>_Toc94013200</vt:lpwstr>
      </vt:variant>
      <vt:variant>
        <vt:i4>1703987</vt:i4>
      </vt:variant>
      <vt:variant>
        <vt:i4>284</vt:i4>
      </vt:variant>
      <vt:variant>
        <vt:i4>0</vt:i4>
      </vt:variant>
      <vt:variant>
        <vt:i4>5</vt:i4>
      </vt:variant>
      <vt:variant>
        <vt:lpwstr/>
      </vt:variant>
      <vt:variant>
        <vt:lpwstr>_Toc94013199</vt:lpwstr>
      </vt:variant>
      <vt:variant>
        <vt:i4>1769523</vt:i4>
      </vt:variant>
      <vt:variant>
        <vt:i4>278</vt:i4>
      </vt:variant>
      <vt:variant>
        <vt:i4>0</vt:i4>
      </vt:variant>
      <vt:variant>
        <vt:i4>5</vt:i4>
      </vt:variant>
      <vt:variant>
        <vt:lpwstr/>
      </vt:variant>
      <vt:variant>
        <vt:lpwstr>_Toc94013198</vt:lpwstr>
      </vt:variant>
      <vt:variant>
        <vt:i4>1310771</vt:i4>
      </vt:variant>
      <vt:variant>
        <vt:i4>272</vt:i4>
      </vt:variant>
      <vt:variant>
        <vt:i4>0</vt:i4>
      </vt:variant>
      <vt:variant>
        <vt:i4>5</vt:i4>
      </vt:variant>
      <vt:variant>
        <vt:lpwstr/>
      </vt:variant>
      <vt:variant>
        <vt:lpwstr>_Toc94013197</vt:lpwstr>
      </vt:variant>
      <vt:variant>
        <vt:i4>1376307</vt:i4>
      </vt:variant>
      <vt:variant>
        <vt:i4>266</vt:i4>
      </vt:variant>
      <vt:variant>
        <vt:i4>0</vt:i4>
      </vt:variant>
      <vt:variant>
        <vt:i4>5</vt:i4>
      </vt:variant>
      <vt:variant>
        <vt:lpwstr/>
      </vt:variant>
      <vt:variant>
        <vt:lpwstr>_Toc94013196</vt:lpwstr>
      </vt:variant>
      <vt:variant>
        <vt:i4>1441843</vt:i4>
      </vt:variant>
      <vt:variant>
        <vt:i4>260</vt:i4>
      </vt:variant>
      <vt:variant>
        <vt:i4>0</vt:i4>
      </vt:variant>
      <vt:variant>
        <vt:i4>5</vt:i4>
      </vt:variant>
      <vt:variant>
        <vt:lpwstr/>
      </vt:variant>
      <vt:variant>
        <vt:lpwstr>_Toc94013195</vt:lpwstr>
      </vt:variant>
      <vt:variant>
        <vt:i4>1507379</vt:i4>
      </vt:variant>
      <vt:variant>
        <vt:i4>254</vt:i4>
      </vt:variant>
      <vt:variant>
        <vt:i4>0</vt:i4>
      </vt:variant>
      <vt:variant>
        <vt:i4>5</vt:i4>
      </vt:variant>
      <vt:variant>
        <vt:lpwstr/>
      </vt:variant>
      <vt:variant>
        <vt:lpwstr>_Toc94013194</vt:lpwstr>
      </vt:variant>
      <vt:variant>
        <vt:i4>1048627</vt:i4>
      </vt:variant>
      <vt:variant>
        <vt:i4>248</vt:i4>
      </vt:variant>
      <vt:variant>
        <vt:i4>0</vt:i4>
      </vt:variant>
      <vt:variant>
        <vt:i4>5</vt:i4>
      </vt:variant>
      <vt:variant>
        <vt:lpwstr/>
      </vt:variant>
      <vt:variant>
        <vt:lpwstr>_Toc94013193</vt:lpwstr>
      </vt:variant>
      <vt:variant>
        <vt:i4>1114163</vt:i4>
      </vt:variant>
      <vt:variant>
        <vt:i4>242</vt:i4>
      </vt:variant>
      <vt:variant>
        <vt:i4>0</vt:i4>
      </vt:variant>
      <vt:variant>
        <vt:i4>5</vt:i4>
      </vt:variant>
      <vt:variant>
        <vt:lpwstr/>
      </vt:variant>
      <vt:variant>
        <vt:lpwstr>_Toc94013192</vt:lpwstr>
      </vt:variant>
      <vt:variant>
        <vt:i4>1179699</vt:i4>
      </vt:variant>
      <vt:variant>
        <vt:i4>236</vt:i4>
      </vt:variant>
      <vt:variant>
        <vt:i4>0</vt:i4>
      </vt:variant>
      <vt:variant>
        <vt:i4>5</vt:i4>
      </vt:variant>
      <vt:variant>
        <vt:lpwstr/>
      </vt:variant>
      <vt:variant>
        <vt:lpwstr>_Toc94013191</vt:lpwstr>
      </vt:variant>
      <vt:variant>
        <vt:i4>1245235</vt:i4>
      </vt:variant>
      <vt:variant>
        <vt:i4>230</vt:i4>
      </vt:variant>
      <vt:variant>
        <vt:i4>0</vt:i4>
      </vt:variant>
      <vt:variant>
        <vt:i4>5</vt:i4>
      </vt:variant>
      <vt:variant>
        <vt:lpwstr/>
      </vt:variant>
      <vt:variant>
        <vt:lpwstr>_Toc94013190</vt:lpwstr>
      </vt:variant>
      <vt:variant>
        <vt:i4>1703986</vt:i4>
      </vt:variant>
      <vt:variant>
        <vt:i4>224</vt:i4>
      </vt:variant>
      <vt:variant>
        <vt:i4>0</vt:i4>
      </vt:variant>
      <vt:variant>
        <vt:i4>5</vt:i4>
      </vt:variant>
      <vt:variant>
        <vt:lpwstr/>
      </vt:variant>
      <vt:variant>
        <vt:lpwstr>_Toc94013189</vt:lpwstr>
      </vt:variant>
      <vt:variant>
        <vt:i4>1769522</vt:i4>
      </vt:variant>
      <vt:variant>
        <vt:i4>218</vt:i4>
      </vt:variant>
      <vt:variant>
        <vt:i4>0</vt:i4>
      </vt:variant>
      <vt:variant>
        <vt:i4>5</vt:i4>
      </vt:variant>
      <vt:variant>
        <vt:lpwstr/>
      </vt:variant>
      <vt:variant>
        <vt:lpwstr>_Toc94013188</vt:lpwstr>
      </vt:variant>
      <vt:variant>
        <vt:i4>1310770</vt:i4>
      </vt:variant>
      <vt:variant>
        <vt:i4>212</vt:i4>
      </vt:variant>
      <vt:variant>
        <vt:i4>0</vt:i4>
      </vt:variant>
      <vt:variant>
        <vt:i4>5</vt:i4>
      </vt:variant>
      <vt:variant>
        <vt:lpwstr/>
      </vt:variant>
      <vt:variant>
        <vt:lpwstr>_Toc94013187</vt:lpwstr>
      </vt:variant>
      <vt:variant>
        <vt:i4>1376306</vt:i4>
      </vt:variant>
      <vt:variant>
        <vt:i4>206</vt:i4>
      </vt:variant>
      <vt:variant>
        <vt:i4>0</vt:i4>
      </vt:variant>
      <vt:variant>
        <vt:i4>5</vt:i4>
      </vt:variant>
      <vt:variant>
        <vt:lpwstr/>
      </vt:variant>
      <vt:variant>
        <vt:lpwstr>_Toc94013186</vt:lpwstr>
      </vt:variant>
      <vt:variant>
        <vt:i4>1441842</vt:i4>
      </vt:variant>
      <vt:variant>
        <vt:i4>200</vt:i4>
      </vt:variant>
      <vt:variant>
        <vt:i4>0</vt:i4>
      </vt:variant>
      <vt:variant>
        <vt:i4>5</vt:i4>
      </vt:variant>
      <vt:variant>
        <vt:lpwstr/>
      </vt:variant>
      <vt:variant>
        <vt:lpwstr>_Toc94013185</vt:lpwstr>
      </vt:variant>
      <vt:variant>
        <vt:i4>1507378</vt:i4>
      </vt:variant>
      <vt:variant>
        <vt:i4>194</vt:i4>
      </vt:variant>
      <vt:variant>
        <vt:i4>0</vt:i4>
      </vt:variant>
      <vt:variant>
        <vt:i4>5</vt:i4>
      </vt:variant>
      <vt:variant>
        <vt:lpwstr/>
      </vt:variant>
      <vt:variant>
        <vt:lpwstr>_Toc94013184</vt:lpwstr>
      </vt:variant>
      <vt:variant>
        <vt:i4>1048626</vt:i4>
      </vt:variant>
      <vt:variant>
        <vt:i4>188</vt:i4>
      </vt:variant>
      <vt:variant>
        <vt:i4>0</vt:i4>
      </vt:variant>
      <vt:variant>
        <vt:i4>5</vt:i4>
      </vt:variant>
      <vt:variant>
        <vt:lpwstr/>
      </vt:variant>
      <vt:variant>
        <vt:lpwstr>_Toc94013183</vt:lpwstr>
      </vt:variant>
      <vt:variant>
        <vt:i4>1114162</vt:i4>
      </vt:variant>
      <vt:variant>
        <vt:i4>182</vt:i4>
      </vt:variant>
      <vt:variant>
        <vt:i4>0</vt:i4>
      </vt:variant>
      <vt:variant>
        <vt:i4>5</vt:i4>
      </vt:variant>
      <vt:variant>
        <vt:lpwstr/>
      </vt:variant>
      <vt:variant>
        <vt:lpwstr>_Toc94013182</vt:lpwstr>
      </vt:variant>
      <vt:variant>
        <vt:i4>1179698</vt:i4>
      </vt:variant>
      <vt:variant>
        <vt:i4>176</vt:i4>
      </vt:variant>
      <vt:variant>
        <vt:i4>0</vt:i4>
      </vt:variant>
      <vt:variant>
        <vt:i4>5</vt:i4>
      </vt:variant>
      <vt:variant>
        <vt:lpwstr/>
      </vt:variant>
      <vt:variant>
        <vt:lpwstr>_Toc94013181</vt:lpwstr>
      </vt:variant>
      <vt:variant>
        <vt:i4>1245234</vt:i4>
      </vt:variant>
      <vt:variant>
        <vt:i4>170</vt:i4>
      </vt:variant>
      <vt:variant>
        <vt:i4>0</vt:i4>
      </vt:variant>
      <vt:variant>
        <vt:i4>5</vt:i4>
      </vt:variant>
      <vt:variant>
        <vt:lpwstr/>
      </vt:variant>
      <vt:variant>
        <vt:lpwstr>_Toc94013180</vt:lpwstr>
      </vt:variant>
      <vt:variant>
        <vt:i4>1703997</vt:i4>
      </vt:variant>
      <vt:variant>
        <vt:i4>164</vt:i4>
      </vt:variant>
      <vt:variant>
        <vt:i4>0</vt:i4>
      </vt:variant>
      <vt:variant>
        <vt:i4>5</vt:i4>
      </vt:variant>
      <vt:variant>
        <vt:lpwstr/>
      </vt:variant>
      <vt:variant>
        <vt:lpwstr>_Toc94013179</vt:lpwstr>
      </vt:variant>
      <vt:variant>
        <vt:i4>1769533</vt:i4>
      </vt:variant>
      <vt:variant>
        <vt:i4>158</vt:i4>
      </vt:variant>
      <vt:variant>
        <vt:i4>0</vt:i4>
      </vt:variant>
      <vt:variant>
        <vt:i4>5</vt:i4>
      </vt:variant>
      <vt:variant>
        <vt:lpwstr/>
      </vt:variant>
      <vt:variant>
        <vt:lpwstr>_Toc94013178</vt:lpwstr>
      </vt:variant>
      <vt:variant>
        <vt:i4>1310781</vt:i4>
      </vt:variant>
      <vt:variant>
        <vt:i4>152</vt:i4>
      </vt:variant>
      <vt:variant>
        <vt:i4>0</vt:i4>
      </vt:variant>
      <vt:variant>
        <vt:i4>5</vt:i4>
      </vt:variant>
      <vt:variant>
        <vt:lpwstr/>
      </vt:variant>
      <vt:variant>
        <vt:lpwstr>_Toc94013177</vt:lpwstr>
      </vt:variant>
      <vt:variant>
        <vt:i4>1376317</vt:i4>
      </vt:variant>
      <vt:variant>
        <vt:i4>146</vt:i4>
      </vt:variant>
      <vt:variant>
        <vt:i4>0</vt:i4>
      </vt:variant>
      <vt:variant>
        <vt:i4>5</vt:i4>
      </vt:variant>
      <vt:variant>
        <vt:lpwstr/>
      </vt:variant>
      <vt:variant>
        <vt:lpwstr>_Toc94013176</vt:lpwstr>
      </vt:variant>
      <vt:variant>
        <vt:i4>1441853</vt:i4>
      </vt:variant>
      <vt:variant>
        <vt:i4>140</vt:i4>
      </vt:variant>
      <vt:variant>
        <vt:i4>0</vt:i4>
      </vt:variant>
      <vt:variant>
        <vt:i4>5</vt:i4>
      </vt:variant>
      <vt:variant>
        <vt:lpwstr/>
      </vt:variant>
      <vt:variant>
        <vt:lpwstr>_Toc94013175</vt:lpwstr>
      </vt:variant>
      <vt:variant>
        <vt:i4>1507389</vt:i4>
      </vt:variant>
      <vt:variant>
        <vt:i4>134</vt:i4>
      </vt:variant>
      <vt:variant>
        <vt:i4>0</vt:i4>
      </vt:variant>
      <vt:variant>
        <vt:i4>5</vt:i4>
      </vt:variant>
      <vt:variant>
        <vt:lpwstr/>
      </vt:variant>
      <vt:variant>
        <vt:lpwstr>_Toc94013174</vt:lpwstr>
      </vt:variant>
      <vt:variant>
        <vt:i4>1048637</vt:i4>
      </vt:variant>
      <vt:variant>
        <vt:i4>128</vt:i4>
      </vt:variant>
      <vt:variant>
        <vt:i4>0</vt:i4>
      </vt:variant>
      <vt:variant>
        <vt:i4>5</vt:i4>
      </vt:variant>
      <vt:variant>
        <vt:lpwstr/>
      </vt:variant>
      <vt:variant>
        <vt:lpwstr>_Toc94013173</vt:lpwstr>
      </vt:variant>
      <vt:variant>
        <vt:i4>1114173</vt:i4>
      </vt:variant>
      <vt:variant>
        <vt:i4>122</vt:i4>
      </vt:variant>
      <vt:variant>
        <vt:i4>0</vt:i4>
      </vt:variant>
      <vt:variant>
        <vt:i4>5</vt:i4>
      </vt:variant>
      <vt:variant>
        <vt:lpwstr/>
      </vt:variant>
      <vt:variant>
        <vt:lpwstr>_Toc94013172</vt:lpwstr>
      </vt:variant>
      <vt:variant>
        <vt:i4>1179709</vt:i4>
      </vt:variant>
      <vt:variant>
        <vt:i4>116</vt:i4>
      </vt:variant>
      <vt:variant>
        <vt:i4>0</vt:i4>
      </vt:variant>
      <vt:variant>
        <vt:i4>5</vt:i4>
      </vt:variant>
      <vt:variant>
        <vt:lpwstr/>
      </vt:variant>
      <vt:variant>
        <vt:lpwstr>_Toc94013171</vt:lpwstr>
      </vt:variant>
      <vt:variant>
        <vt:i4>1245245</vt:i4>
      </vt:variant>
      <vt:variant>
        <vt:i4>110</vt:i4>
      </vt:variant>
      <vt:variant>
        <vt:i4>0</vt:i4>
      </vt:variant>
      <vt:variant>
        <vt:i4>5</vt:i4>
      </vt:variant>
      <vt:variant>
        <vt:lpwstr/>
      </vt:variant>
      <vt:variant>
        <vt:lpwstr>_Toc94013170</vt:lpwstr>
      </vt:variant>
      <vt:variant>
        <vt:i4>1703996</vt:i4>
      </vt:variant>
      <vt:variant>
        <vt:i4>104</vt:i4>
      </vt:variant>
      <vt:variant>
        <vt:i4>0</vt:i4>
      </vt:variant>
      <vt:variant>
        <vt:i4>5</vt:i4>
      </vt:variant>
      <vt:variant>
        <vt:lpwstr/>
      </vt:variant>
      <vt:variant>
        <vt:lpwstr>_Toc94013169</vt:lpwstr>
      </vt:variant>
      <vt:variant>
        <vt:i4>1769532</vt:i4>
      </vt:variant>
      <vt:variant>
        <vt:i4>98</vt:i4>
      </vt:variant>
      <vt:variant>
        <vt:i4>0</vt:i4>
      </vt:variant>
      <vt:variant>
        <vt:i4>5</vt:i4>
      </vt:variant>
      <vt:variant>
        <vt:lpwstr/>
      </vt:variant>
      <vt:variant>
        <vt:lpwstr>_Toc94013168</vt:lpwstr>
      </vt:variant>
      <vt:variant>
        <vt:i4>1310780</vt:i4>
      </vt:variant>
      <vt:variant>
        <vt:i4>92</vt:i4>
      </vt:variant>
      <vt:variant>
        <vt:i4>0</vt:i4>
      </vt:variant>
      <vt:variant>
        <vt:i4>5</vt:i4>
      </vt:variant>
      <vt:variant>
        <vt:lpwstr/>
      </vt:variant>
      <vt:variant>
        <vt:lpwstr>_Toc94013167</vt:lpwstr>
      </vt:variant>
      <vt:variant>
        <vt:i4>1376316</vt:i4>
      </vt:variant>
      <vt:variant>
        <vt:i4>86</vt:i4>
      </vt:variant>
      <vt:variant>
        <vt:i4>0</vt:i4>
      </vt:variant>
      <vt:variant>
        <vt:i4>5</vt:i4>
      </vt:variant>
      <vt:variant>
        <vt:lpwstr/>
      </vt:variant>
      <vt:variant>
        <vt:lpwstr>_Toc94013166</vt:lpwstr>
      </vt:variant>
      <vt:variant>
        <vt:i4>1441852</vt:i4>
      </vt:variant>
      <vt:variant>
        <vt:i4>80</vt:i4>
      </vt:variant>
      <vt:variant>
        <vt:i4>0</vt:i4>
      </vt:variant>
      <vt:variant>
        <vt:i4>5</vt:i4>
      </vt:variant>
      <vt:variant>
        <vt:lpwstr/>
      </vt:variant>
      <vt:variant>
        <vt:lpwstr>_Toc94013165</vt:lpwstr>
      </vt:variant>
      <vt:variant>
        <vt:i4>1507388</vt:i4>
      </vt:variant>
      <vt:variant>
        <vt:i4>74</vt:i4>
      </vt:variant>
      <vt:variant>
        <vt:i4>0</vt:i4>
      </vt:variant>
      <vt:variant>
        <vt:i4>5</vt:i4>
      </vt:variant>
      <vt:variant>
        <vt:lpwstr/>
      </vt:variant>
      <vt:variant>
        <vt:lpwstr>_Toc94013164</vt:lpwstr>
      </vt:variant>
      <vt:variant>
        <vt:i4>1048636</vt:i4>
      </vt:variant>
      <vt:variant>
        <vt:i4>68</vt:i4>
      </vt:variant>
      <vt:variant>
        <vt:i4>0</vt:i4>
      </vt:variant>
      <vt:variant>
        <vt:i4>5</vt:i4>
      </vt:variant>
      <vt:variant>
        <vt:lpwstr/>
      </vt:variant>
      <vt:variant>
        <vt:lpwstr>_Toc94013163</vt:lpwstr>
      </vt:variant>
      <vt:variant>
        <vt:i4>1114172</vt:i4>
      </vt:variant>
      <vt:variant>
        <vt:i4>62</vt:i4>
      </vt:variant>
      <vt:variant>
        <vt:i4>0</vt:i4>
      </vt:variant>
      <vt:variant>
        <vt:i4>5</vt:i4>
      </vt:variant>
      <vt:variant>
        <vt:lpwstr/>
      </vt:variant>
      <vt:variant>
        <vt:lpwstr>_Toc94013162</vt:lpwstr>
      </vt:variant>
      <vt:variant>
        <vt:i4>1179708</vt:i4>
      </vt:variant>
      <vt:variant>
        <vt:i4>56</vt:i4>
      </vt:variant>
      <vt:variant>
        <vt:i4>0</vt:i4>
      </vt:variant>
      <vt:variant>
        <vt:i4>5</vt:i4>
      </vt:variant>
      <vt:variant>
        <vt:lpwstr/>
      </vt:variant>
      <vt:variant>
        <vt:lpwstr>_Toc94013161</vt:lpwstr>
      </vt:variant>
      <vt:variant>
        <vt:i4>1245244</vt:i4>
      </vt:variant>
      <vt:variant>
        <vt:i4>50</vt:i4>
      </vt:variant>
      <vt:variant>
        <vt:i4>0</vt:i4>
      </vt:variant>
      <vt:variant>
        <vt:i4>5</vt:i4>
      </vt:variant>
      <vt:variant>
        <vt:lpwstr/>
      </vt:variant>
      <vt:variant>
        <vt:lpwstr>_Toc94013160</vt:lpwstr>
      </vt:variant>
      <vt:variant>
        <vt:i4>1703999</vt:i4>
      </vt:variant>
      <vt:variant>
        <vt:i4>44</vt:i4>
      </vt:variant>
      <vt:variant>
        <vt:i4>0</vt:i4>
      </vt:variant>
      <vt:variant>
        <vt:i4>5</vt:i4>
      </vt:variant>
      <vt:variant>
        <vt:lpwstr/>
      </vt:variant>
      <vt:variant>
        <vt:lpwstr>_Toc94013159</vt:lpwstr>
      </vt:variant>
      <vt:variant>
        <vt:i4>1769535</vt:i4>
      </vt:variant>
      <vt:variant>
        <vt:i4>38</vt:i4>
      </vt:variant>
      <vt:variant>
        <vt:i4>0</vt:i4>
      </vt:variant>
      <vt:variant>
        <vt:i4>5</vt:i4>
      </vt:variant>
      <vt:variant>
        <vt:lpwstr/>
      </vt:variant>
      <vt:variant>
        <vt:lpwstr>_Toc94013158</vt:lpwstr>
      </vt:variant>
      <vt:variant>
        <vt:i4>1310783</vt:i4>
      </vt:variant>
      <vt:variant>
        <vt:i4>32</vt:i4>
      </vt:variant>
      <vt:variant>
        <vt:i4>0</vt:i4>
      </vt:variant>
      <vt:variant>
        <vt:i4>5</vt:i4>
      </vt:variant>
      <vt:variant>
        <vt:lpwstr/>
      </vt:variant>
      <vt:variant>
        <vt:lpwstr>_Toc94013157</vt:lpwstr>
      </vt:variant>
      <vt:variant>
        <vt:i4>1376319</vt:i4>
      </vt:variant>
      <vt:variant>
        <vt:i4>26</vt:i4>
      </vt:variant>
      <vt:variant>
        <vt:i4>0</vt:i4>
      </vt:variant>
      <vt:variant>
        <vt:i4>5</vt:i4>
      </vt:variant>
      <vt:variant>
        <vt:lpwstr/>
      </vt:variant>
      <vt:variant>
        <vt:lpwstr>_Toc94013156</vt:lpwstr>
      </vt:variant>
      <vt:variant>
        <vt:i4>1441855</vt:i4>
      </vt:variant>
      <vt:variant>
        <vt:i4>20</vt:i4>
      </vt:variant>
      <vt:variant>
        <vt:i4>0</vt:i4>
      </vt:variant>
      <vt:variant>
        <vt:i4>5</vt:i4>
      </vt:variant>
      <vt:variant>
        <vt:lpwstr/>
      </vt:variant>
      <vt:variant>
        <vt:lpwstr>_Toc94013155</vt:lpwstr>
      </vt:variant>
      <vt:variant>
        <vt:i4>1507391</vt:i4>
      </vt:variant>
      <vt:variant>
        <vt:i4>14</vt:i4>
      </vt:variant>
      <vt:variant>
        <vt:i4>0</vt:i4>
      </vt:variant>
      <vt:variant>
        <vt:i4>5</vt:i4>
      </vt:variant>
      <vt:variant>
        <vt:lpwstr/>
      </vt:variant>
      <vt:variant>
        <vt:lpwstr>_Toc94013154</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2022-01-25T07:47:00Z</cp:lastPrinted>
  <dcterms:created xsi:type="dcterms:W3CDTF">2022-02-28T01:30:00Z</dcterms:created>
  <dcterms:modified xsi:type="dcterms:W3CDTF">2022-03-01T00:05:00Z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State Emergency Management Plan </vt:lpwstr>
  </property>
  <property fmtid="{D5CDD505-2E9C-101B-9397-08002B2CF9AE}" pid="3" name="xSubtitle">
    <vt:lpwstr>Energy Sub-Plan (2022)</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Draft</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State Emergency Management Plan </vt:lpwstr>
  </property>
  <property fmtid="{D5CDD505-2E9C-101B-9397-08002B2CF9AE}" pid="16" name="xFooterSubtitle">
    <vt:lpwstr>Energy Sub-Plan (2022)</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2022-01-06T09:55:57Z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1559cb8f-4266-4526-bbba-6480f169c640</vt:lpwstr>
  </property>
  <property fmtid="{D5CDD505-2E9C-101B-9397-08002B2CF9AE}" pid="24" name="MSIP_Label_4257e2ab-f512-40e2-9c9a-c64247360765_ContentBits">
    <vt:lpwstr>2</vt:lpwstr>
  </property>
  <property fmtid="{D5CDD505-2E9C-101B-9397-08002B2CF9AE}" pid="25" name="ContentTypeId">
    <vt:lpwstr>0x0101002517F445A0F35E449C98AAD631F2B0387500B61690EF4C9CBE40B3C686FE18D62385</vt:lpwstr>
  </property>
  <property fmtid="{D5CDD505-2E9C-101B-9397-08002B2CF9AE}" pid="26" name="_dlc_DocIdItemGuid">
    <vt:lpwstr>a062a891-8f96-48ce-be41-b5accc9d0c00</vt:lpwstr>
  </property>
  <property fmtid="{D5CDD505-2E9C-101B-9397-08002B2CF9AE}" pid="27" name="Section">
    <vt:lpwstr>7;#All|8270565e-a836-42c0-aa61-1ac7b0ff14aa</vt:lpwstr>
  </property>
  <property fmtid="{D5CDD505-2E9C-101B-9397-08002B2CF9AE}" pid="28" name="Agency">
    <vt:lpwstr>1;#Department of Environment, Land, Water and Planning|607a3f87-1228-4cd9-82a5-076aa8776274</vt:lpwstr>
  </property>
  <property fmtid="{D5CDD505-2E9C-101B-9397-08002B2CF9AE}" pid="29" name="Branch">
    <vt:lpwstr>6;#All|8270565e-a836-42c0-aa61-1ac7b0ff14aa</vt:lpwstr>
  </property>
  <property fmtid="{D5CDD505-2E9C-101B-9397-08002B2CF9AE}" pid="30" name="Division">
    <vt:lpwstr>13;#Policy and Planning|01515e0b-0528-49c7-a53b-6d3bf8d1dbc3</vt:lpwstr>
  </property>
  <property fmtid="{D5CDD505-2E9C-101B-9397-08002B2CF9AE}" pid="31" name="Group1">
    <vt:lpwstr>12;#Forest, Fire and Regions|2e0654de-dfdc-4793-b2a2-0db9a0abca14</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TaxKeyword">
    <vt:lpwstr/>
  </property>
  <property fmtid="{D5CDD505-2E9C-101B-9397-08002B2CF9AE}" pid="35" name="Sub-Section">
    <vt:lpwstr/>
  </property>
  <property fmtid="{D5CDD505-2E9C-101B-9397-08002B2CF9AE}" pid="36" name="Reference_x0020_Type">
    <vt:lpwstr/>
  </property>
  <property fmtid="{D5CDD505-2E9C-101B-9397-08002B2CF9AE}" pid="37" name="TaxKeywordTaxHTField">
    <vt:lpwstr/>
  </property>
  <property fmtid="{D5CDD505-2E9C-101B-9397-08002B2CF9AE}" pid="38" name="Location_x0020_Type">
    <vt:lpwstr/>
  </property>
  <property fmtid="{D5CDD505-2E9C-101B-9397-08002B2CF9AE}" pid="39" name="Copyright_x0020_Licence_x0020_Name">
    <vt:lpwstr/>
  </property>
  <property fmtid="{D5CDD505-2E9C-101B-9397-08002B2CF9AE}" pid="40" name="df723ab3fe1c4eb7a0b151674e7ac40d">
    <vt:lpwstr/>
  </property>
  <property fmtid="{D5CDD505-2E9C-101B-9397-08002B2CF9AE}" pid="41" name="o2e611f6ba3e4c8f9a895dfb7980639e">
    <vt:lpwstr/>
  </property>
  <property fmtid="{D5CDD505-2E9C-101B-9397-08002B2CF9AE}" pid="42" name="ld508a88e6264ce89693af80a72862cb">
    <vt:lpwstr/>
  </property>
  <property fmtid="{D5CDD505-2E9C-101B-9397-08002B2CF9AE}" pid="43" name="Category">
    <vt:lpwstr/>
  </property>
  <property fmtid="{D5CDD505-2E9C-101B-9397-08002B2CF9AE}" pid="44" name="Copyright Licence Name">
    <vt:lpwstr/>
  </property>
  <property fmtid="{D5CDD505-2E9C-101B-9397-08002B2CF9AE}" pid="45" name="Reference Type">
    <vt:lpwstr/>
  </property>
  <property fmtid="{D5CDD505-2E9C-101B-9397-08002B2CF9AE}" pid="46" name="Location Type">
    <vt:lpwstr/>
  </property>
</Properties>
</file>