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C0FB" w14:textId="6455ADF8" w:rsidR="0049237B" w:rsidRPr="00E97536" w:rsidRDefault="00EF36B5" w:rsidP="004B5D7C">
      <w:pPr>
        <w:pStyle w:val="Heading1"/>
        <w:spacing w:beforeLines="60" w:before="144" w:afterLines="60" w:after="144"/>
        <w:rPr>
          <w:b/>
          <w:bCs/>
          <w:sz w:val="22"/>
          <w:szCs w:val="22"/>
        </w:rPr>
      </w:pPr>
      <w:r>
        <w:rPr>
          <w:b/>
          <w:bCs/>
          <w:sz w:val="22"/>
          <w:szCs w:val="22"/>
        </w:rPr>
        <w:t xml:space="preserve">Claims </w:t>
      </w:r>
      <w:r w:rsidR="0049237B" w:rsidRPr="00E97536">
        <w:rPr>
          <w:b/>
          <w:bCs/>
          <w:sz w:val="22"/>
          <w:szCs w:val="22"/>
        </w:rPr>
        <w:t xml:space="preserve">Journey Map </w:t>
      </w:r>
    </w:p>
    <w:p w14:paraId="5A5723AC" w14:textId="2277923F" w:rsidR="00502443" w:rsidRDefault="00EF36B5" w:rsidP="0049237B">
      <w:pPr>
        <w:spacing w:beforeLines="60" w:before="144" w:afterLines="60" w:after="144"/>
        <w:rPr>
          <w:sz w:val="16"/>
          <w:szCs w:val="14"/>
        </w:rPr>
      </w:pPr>
      <w:r>
        <w:rPr>
          <w:sz w:val="16"/>
          <w:szCs w:val="14"/>
        </w:rPr>
        <w:t xml:space="preserve">The Claims </w:t>
      </w:r>
      <w:r w:rsidR="0049237B" w:rsidRPr="00E97536">
        <w:rPr>
          <w:sz w:val="16"/>
          <w:szCs w:val="14"/>
        </w:rPr>
        <w:t xml:space="preserve">Journey </w:t>
      </w:r>
      <w:r>
        <w:rPr>
          <w:sz w:val="16"/>
          <w:szCs w:val="14"/>
        </w:rPr>
        <w:t>M</w:t>
      </w:r>
      <w:r w:rsidR="0049237B" w:rsidRPr="00E97536">
        <w:rPr>
          <w:sz w:val="16"/>
          <w:szCs w:val="14"/>
        </w:rPr>
        <w:t xml:space="preserve">ap </w:t>
      </w:r>
      <w:r>
        <w:rPr>
          <w:sz w:val="16"/>
          <w:szCs w:val="14"/>
        </w:rPr>
        <w:t xml:space="preserve">outlines </w:t>
      </w:r>
      <w:r w:rsidR="00FE6932">
        <w:rPr>
          <w:sz w:val="16"/>
          <w:szCs w:val="14"/>
        </w:rPr>
        <w:t xml:space="preserve">the </w:t>
      </w:r>
      <w:r>
        <w:rPr>
          <w:sz w:val="16"/>
          <w:szCs w:val="14"/>
        </w:rPr>
        <w:t>roles and responsibilities of the Administering Authority (Emergency Management Victoria) and the Assessing Authority (Regional Roads Victoria)</w:t>
      </w:r>
      <w:r w:rsidR="00385144">
        <w:rPr>
          <w:sz w:val="16"/>
          <w:szCs w:val="14"/>
        </w:rPr>
        <w:t xml:space="preserve"> </w:t>
      </w:r>
      <w:r w:rsidR="00FE6932">
        <w:rPr>
          <w:sz w:val="16"/>
          <w:szCs w:val="14"/>
        </w:rPr>
        <w:t xml:space="preserve">in the management of </w:t>
      </w:r>
      <w:r>
        <w:rPr>
          <w:sz w:val="16"/>
          <w:szCs w:val="14"/>
        </w:rPr>
        <w:t xml:space="preserve">DRFA Category A and B claims </w:t>
      </w:r>
      <w:r w:rsidR="00FE6932">
        <w:rPr>
          <w:sz w:val="16"/>
          <w:szCs w:val="14"/>
        </w:rPr>
        <w:t xml:space="preserve">for expenditure incurred from the </w:t>
      </w:r>
      <w:r>
        <w:rPr>
          <w:sz w:val="16"/>
          <w:szCs w:val="14"/>
        </w:rPr>
        <w:t>2020-21 financial year</w:t>
      </w:r>
      <w:r w:rsidR="007C3024">
        <w:rPr>
          <w:sz w:val="16"/>
          <w:szCs w:val="14"/>
        </w:rPr>
        <w:t>.</w:t>
      </w:r>
      <w:r>
        <w:rPr>
          <w:sz w:val="16"/>
          <w:szCs w:val="14"/>
        </w:rPr>
        <w:t xml:space="preserve"> </w:t>
      </w:r>
    </w:p>
    <w:p w14:paraId="6EDCCF51" w14:textId="10537F41" w:rsidR="00035CD7" w:rsidRDefault="00035CD7" w:rsidP="0049237B">
      <w:pPr>
        <w:spacing w:beforeLines="60" w:before="144" w:afterLines="60" w:after="144"/>
        <w:rPr>
          <w:sz w:val="16"/>
          <w:szCs w:val="14"/>
        </w:rPr>
      </w:pPr>
      <w:r>
        <w:rPr>
          <w:sz w:val="16"/>
          <w:szCs w:val="14"/>
        </w:rPr>
        <w:t xml:space="preserve">The Journey map has been aligned to the </w:t>
      </w:r>
      <w:r w:rsidR="009265D2">
        <w:rPr>
          <w:sz w:val="16"/>
          <w:szCs w:val="14"/>
        </w:rPr>
        <w:t>four-step</w:t>
      </w:r>
      <w:r>
        <w:rPr>
          <w:sz w:val="16"/>
          <w:szCs w:val="14"/>
        </w:rPr>
        <w:t xml:space="preserve"> </w:t>
      </w:r>
      <w:hyperlink r:id="rId7" w:history="1">
        <w:r w:rsidR="009265D2" w:rsidRPr="003924F8">
          <w:rPr>
            <w:rStyle w:val="Hyperlink"/>
            <w:i/>
            <w:iCs/>
            <w:sz w:val="16"/>
            <w:szCs w:val="14"/>
          </w:rPr>
          <w:t>P</w:t>
        </w:r>
        <w:r w:rsidRPr="003924F8">
          <w:rPr>
            <w:rStyle w:val="Hyperlink"/>
            <w:i/>
            <w:iCs/>
            <w:sz w:val="16"/>
            <w:szCs w:val="14"/>
          </w:rPr>
          <w:t>rocess</w:t>
        </w:r>
        <w:r w:rsidR="009265D2" w:rsidRPr="003924F8">
          <w:rPr>
            <w:rStyle w:val="Hyperlink"/>
            <w:i/>
            <w:iCs/>
            <w:sz w:val="16"/>
            <w:szCs w:val="14"/>
          </w:rPr>
          <w:t xml:space="preserve"> for Natural Disaster Events and Claims</w:t>
        </w:r>
      </w:hyperlink>
      <w:r>
        <w:rPr>
          <w:sz w:val="16"/>
          <w:szCs w:val="14"/>
        </w:rPr>
        <w:t xml:space="preserve"> to complete a fully compliant DRFA claim. </w:t>
      </w:r>
      <w:r w:rsidR="00FC7F43">
        <w:rPr>
          <w:sz w:val="16"/>
          <w:szCs w:val="14"/>
        </w:rPr>
        <w:t xml:space="preserve"> In summary, the four steps are:</w:t>
      </w:r>
    </w:p>
    <w:p w14:paraId="5BE6D433" w14:textId="36FA9C3B" w:rsidR="00FC7F43" w:rsidRDefault="00FC7F43" w:rsidP="0049237B">
      <w:pPr>
        <w:spacing w:beforeLines="60" w:before="144" w:afterLines="60" w:after="144"/>
        <w:rPr>
          <w:sz w:val="16"/>
          <w:szCs w:val="14"/>
        </w:rPr>
      </w:pPr>
      <w:r>
        <w:rPr>
          <w:sz w:val="16"/>
          <w:szCs w:val="14"/>
        </w:rPr>
        <w:t>Step 1 – A disaster occurs;</w:t>
      </w:r>
    </w:p>
    <w:p w14:paraId="47484572" w14:textId="77DD58DE" w:rsidR="00FC7F43" w:rsidRDefault="00FC7F43" w:rsidP="0049237B">
      <w:pPr>
        <w:spacing w:beforeLines="60" w:before="144" w:afterLines="60" w:after="144"/>
        <w:rPr>
          <w:sz w:val="16"/>
          <w:szCs w:val="14"/>
        </w:rPr>
      </w:pPr>
      <w:r>
        <w:rPr>
          <w:sz w:val="16"/>
          <w:szCs w:val="14"/>
        </w:rPr>
        <w:t>Step 2 – Confirmation of a DRFA event;</w:t>
      </w:r>
    </w:p>
    <w:p w14:paraId="01A7374F" w14:textId="603234F4" w:rsidR="00FC7F43" w:rsidRDefault="00FC7F43" w:rsidP="0049237B">
      <w:pPr>
        <w:spacing w:beforeLines="60" w:before="144" w:afterLines="60" w:after="144"/>
        <w:rPr>
          <w:sz w:val="16"/>
          <w:szCs w:val="14"/>
        </w:rPr>
      </w:pPr>
      <w:r>
        <w:rPr>
          <w:sz w:val="16"/>
          <w:szCs w:val="14"/>
        </w:rPr>
        <w:t>Step 3 – Information required to complete a fully compliant claim</w:t>
      </w:r>
      <w:r w:rsidR="007C3024">
        <w:rPr>
          <w:sz w:val="16"/>
          <w:szCs w:val="14"/>
        </w:rPr>
        <w:t>;</w:t>
      </w:r>
    </w:p>
    <w:p w14:paraId="6828CF01" w14:textId="01266C15" w:rsidR="00FC7F43" w:rsidRPr="00E97536" w:rsidRDefault="00FC7F43" w:rsidP="0049237B">
      <w:pPr>
        <w:spacing w:beforeLines="60" w:before="144" w:afterLines="60" w:after="144"/>
        <w:rPr>
          <w:sz w:val="16"/>
          <w:szCs w:val="14"/>
        </w:rPr>
      </w:pPr>
      <w:r>
        <w:rPr>
          <w:sz w:val="16"/>
          <w:szCs w:val="14"/>
        </w:rPr>
        <w:t>Step 4- Finalisation of the claim</w:t>
      </w:r>
      <w:r w:rsidR="007C3024">
        <w:rPr>
          <w:sz w:val="16"/>
          <w:szCs w:val="1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222"/>
      </w:tblGrid>
      <w:tr w:rsidR="0049237B" w:rsidRPr="00840993" w14:paraId="7C6EED95" w14:textId="77777777" w:rsidTr="006E3BEF">
        <w:trPr>
          <w:trHeight w:val="425"/>
        </w:trPr>
        <w:tc>
          <w:tcPr>
            <w:tcW w:w="8750" w:type="dxa"/>
            <w:gridSpan w:val="2"/>
            <w:shd w:val="clear" w:color="auto" w:fill="657C9C" w:themeFill="text2" w:themeFillTint="BF"/>
          </w:tcPr>
          <w:p w14:paraId="3F295411" w14:textId="40F4D5B6" w:rsidR="0049237B" w:rsidRPr="004B5D7C" w:rsidRDefault="00EF36B5" w:rsidP="00840993">
            <w:pPr>
              <w:spacing w:before="0"/>
              <w:contextualSpacing/>
              <w:rPr>
                <w:b/>
                <w:color w:val="FFFFFF" w:themeColor="background1"/>
                <w:szCs w:val="20"/>
              </w:rPr>
            </w:pPr>
            <w:r>
              <w:rPr>
                <w:b/>
                <w:color w:val="FFFFFF" w:themeColor="background1"/>
                <w:szCs w:val="20"/>
              </w:rPr>
              <w:t xml:space="preserve">Claims </w:t>
            </w:r>
            <w:r w:rsidR="0049237B" w:rsidRPr="004B5D7C">
              <w:rPr>
                <w:b/>
                <w:color w:val="FFFFFF" w:themeColor="background1"/>
                <w:szCs w:val="20"/>
              </w:rPr>
              <w:t>Journey Map</w:t>
            </w:r>
          </w:p>
          <w:p w14:paraId="2F8AD736" w14:textId="77777777" w:rsidR="0049237B" w:rsidRPr="00840993" w:rsidRDefault="0049237B" w:rsidP="00840993">
            <w:pPr>
              <w:spacing w:before="0"/>
              <w:contextualSpacing/>
              <w:rPr>
                <w:b/>
                <w:color w:val="FFFFFF" w:themeColor="background1"/>
                <w:sz w:val="16"/>
                <w:szCs w:val="16"/>
              </w:rPr>
            </w:pPr>
            <w:r w:rsidRPr="004B5D7C">
              <w:rPr>
                <w:b/>
                <w:color w:val="FFFFFF" w:themeColor="background1"/>
                <w:szCs w:val="20"/>
              </w:rPr>
              <w:t xml:space="preserve">First point of contact for key functions relating to DRFA Claims </w:t>
            </w:r>
          </w:p>
        </w:tc>
      </w:tr>
      <w:tr w:rsidR="0049237B" w:rsidRPr="00840993" w14:paraId="770759D2" w14:textId="77777777" w:rsidTr="006E3BEF">
        <w:trPr>
          <w:cantSplit/>
          <w:trHeight w:val="1235"/>
        </w:trPr>
        <w:tc>
          <w:tcPr>
            <w:tcW w:w="528" w:type="dxa"/>
            <w:tcBorders>
              <w:bottom w:val="single" w:sz="4" w:space="0" w:color="auto"/>
            </w:tcBorders>
            <w:shd w:val="clear" w:color="auto" w:fill="657C9C" w:themeFill="text2" w:themeFillTint="BF"/>
            <w:textDirection w:val="btLr"/>
          </w:tcPr>
          <w:p w14:paraId="469D6B75" w14:textId="7EFB24A9" w:rsidR="0049237B" w:rsidRPr="00840993" w:rsidRDefault="0049237B" w:rsidP="006508B1">
            <w:pPr>
              <w:ind w:left="113" w:right="113"/>
              <w:contextualSpacing/>
              <w:jc w:val="center"/>
              <w:rPr>
                <w:b/>
                <w:color w:val="FFFFFF" w:themeColor="background1"/>
                <w:sz w:val="16"/>
                <w:szCs w:val="16"/>
              </w:rPr>
            </w:pPr>
            <w:r w:rsidRPr="006E3BEF">
              <w:rPr>
                <w:b/>
                <w:color w:val="FFFFFF" w:themeColor="background1"/>
                <w:szCs w:val="20"/>
              </w:rPr>
              <w:t>Assessing Authority</w:t>
            </w:r>
          </w:p>
        </w:tc>
        <w:tc>
          <w:tcPr>
            <w:tcW w:w="8222" w:type="dxa"/>
            <w:tcBorders>
              <w:top w:val="single" w:sz="4" w:space="0" w:color="2F5496" w:themeColor="accent1" w:themeShade="BF"/>
              <w:bottom w:val="single" w:sz="4" w:space="0" w:color="2F5496" w:themeColor="accent1" w:themeShade="BF"/>
              <w:right w:val="single" w:sz="4" w:space="0" w:color="2F5496" w:themeColor="accent1" w:themeShade="BF"/>
            </w:tcBorders>
          </w:tcPr>
          <w:p w14:paraId="5DE4F328" w14:textId="26817CF5" w:rsidR="00D86D13" w:rsidRPr="00385144" w:rsidRDefault="00D86D13" w:rsidP="00E97536">
            <w:pPr>
              <w:spacing w:before="0" w:after="120"/>
              <w:rPr>
                <w:b/>
                <w:bCs/>
                <w:sz w:val="16"/>
                <w:szCs w:val="16"/>
              </w:rPr>
            </w:pPr>
            <w:r w:rsidRPr="00385144">
              <w:rPr>
                <w:b/>
                <w:bCs/>
                <w:sz w:val="16"/>
                <w:szCs w:val="16"/>
              </w:rPr>
              <w:t>Assessing Authority</w:t>
            </w:r>
            <w:r w:rsidR="00C926BA">
              <w:rPr>
                <w:b/>
                <w:bCs/>
                <w:sz w:val="16"/>
                <w:szCs w:val="16"/>
              </w:rPr>
              <w:t xml:space="preserve"> -Regional Roads Victoria</w:t>
            </w:r>
          </w:p>
          <w:p w14:paraId="7E7D1F7A" w14:textId="0999A9DF" w:rsidR="003924F8" w:rsidRDefault="003924F8" w:rsidP="00035CD7">
            <w:pPr>
              <w:spacing w:before="0"/>
              <w:rPr>
                <w:b/>
                <w:bCs/>
                <w:sz w:val="16"/>
                <w:szCs w:val="16"/>
              </w:rPr>
            </w:pPr>
            <w:r>
              <w:rPr>
                <w:b/>
                <w:bCs/>
                <w:sz w:val="16"/>
                <w:szCs w:val="16"/>
              </w:rPr>
              <w:t>Step 1</w:t>
            </w:r>
          </w:p>
          <w:p w14:paraId="67169039" w14:textId="7011C3A7" w:rsidR="003924F8" w:rsidRPr="003924F8" w:rsidRDefault="003924F8" w:rsidP="003924F8">
            <w:pPr>
              <w:pStyle w:val="ListParagraph"/>
              <w:numPr>
                <w:ilvl w:val="0"/>
                <w:numId w:val="1"/>
              </w:numPr>
              <w:spacing w:before="120" w:after="120"/>
              <w:ind w:left="601" w:hanging="425"/>
              <w:rPr>
                <w:sz w:val="16"/>
                <w:szCs w:val="16"/>
              </w:rPr>
            </w:pPr>
            <w:r w:rsidRPr="003924F8">
              <w:rPr>
                <w:sz w:val="16"/>
                <w:szCs w:val="16"/>
              </w:rPr>
              <w:t xml:space="preserve">Step one process is completed by the Delivery </w:t>
            </w:r>
            <w:r>
              <w:rPr>
                <w:sz w:val="16"/>
                <w:szCs w:val="16"/>
              </w:rPr>
              <w:t>A</w:t>
            </w:r>
            <w:r w:rsidRPr="003924F8">
              <w:rPr>
                <w:sz w:val="16"/>
                <w:szCs w:val="16"/>
              </w:rPr>
              <w:t>gency and the Administering Authority</w:t>
            </w:r>
            <w:r>
              <w:rPr>
                <w:sz w:val="16"/>
                <w:szCs w:val="16"/>
              </w:rPr>
              <w:t>.</w:t>
            </w:r>
            <w:r w:rsidRPr="003924F8">
              <w:rPr>
                <w:sz w:val="16"/>
                <w:szCs w:val="16"/>
              </w:rPr>
              <w:t xml:space="preserve"> </w:t>
            </w:r>
          </w:p>
          <w:p w14:paraId="17CC6F36" w14:textId="2D0A481C" w:rsidR="001907B8" w:rsidRPr="001907B8" w:rsidRDefault="001907B8" w:rsidP="00035CD7">
            <w:pPr>
              <w:spacing w:before="0"/>
              <w:rPr>
                <w:b/>
                <w:bCs/>
                <w:sz w:val="16"/>
                <w:szCs w:val="16"/>
              </w:rPr>
            </w:pPr>
            <w:r w:rsidRPr="001907B8">
              <w:rPr>
                <w:b/>
                <w:bCs/>
                <w:sz w:val="16"/>
                <w:szCs w:val="16"/>
              </w:rPr>
              <w:t xml:space="preserve">Step </w:t>
            </w:r>
            <w:r w:rsidR="006136A8">
              <w:rPr>
                <w:b/>
                <w:bCs/>
                <w:sz w:val="16"/>
                <w:szCs w:val="16"/>
              </w:rPr>
              <w:t>2</w:t>
            </w:r>
          </w:p>
          <w:p w14:paraId="77B78E15" w14:textId="5229C003" w:rsidR="0049237B" w:rsidRPr="006508B1" w:rsidRDefault="0049237B" w:rsidP="006508B1">
            <w:pPr>
              <w:pStyle w:val="ListParagraph"/>
              <w:numPr>
                <w:ilvl w:val="0"/>
                <w:numId w:val="1"/>
              </w:numPr>
              <w:spacing w:before="120" w:after="120"/>
              <w:ind w:left="601" w:hanging="425"/>
              <w:rPr>
                <w:sz w:val="16"/>
                <w:szCs w:val="16"/>
              </w:rPr>
            </w:pPr>
            <w:r w:rsidRPr="006508B1">
              <w:rPr>
                <w:sz w:val="16"/>
                <w:szCs w:val="16"/>
              </w:rPr>
              <w:t>Following receipt of a DRFA Notification of Event form by the Administering Authority</w:t>
            </w:r>
            <w:r w:rsidR="001F607A">
              <w:rPr>
                <w:sz w:val="16"/>
                <w:szCs w:val="16"/>
              </w:rPr>
              <w:t xml:space="preserve"> (for events that are estimated to meet the </w:t>
            </w:r>
            <w:r w:rsidR="00F41575">
              <w:rPr>
                <w:sz w:val="16"/>
                <w:szCs w:val="16"/>
              </w:rPr>
              <w:t xml:space="preserve">DRFA </w:t>
            </w:r>
            <w:r w:rsidR="001F607A">
              <w:rPr>
                <w:sz w:val="16"/>
                <w:szCs w:val="16"/>
              </w:rPr>
              <w:t>small disaster criterion</w:t>
            </w:r>
            <w:r w:rsidR="00513B88">
              <w:rPr>
                <w:sz w:val="16"/>
                <w:szCs w:val="16"/>
              </w:rPr>
              <w:t xml:space="preserve"> or NDFA criteria</w:t>
            </w:r>
            <w:r w:rsidR="001F607A">
              <w:rPr>
                <w:sz w:val="16"/>
                <w:szCs w:val="16"/>
              </w:rPr>
              <w:t>)</w:t>
            </w:r>
            <w:r w:rsidRPr="006508B1">
              <w:rPr>
                <w:sz w:val="16"/>
                <w:szCs w:val="16"/>
              </w:rPr>
              <w:t xml:space="preserve">, make contact with the impacted Delivery Agency within 7 working days to provide an upfront walk through of the DRFA claim process </w:t>
            </w:r>
            <w:r w:rsidR="0029531F">
              <w:rPr>
                <w:sz w:val="16"/>
                <w:szCs w:val="16"/>
              </w:rPr>
              <w:t>and</w:t>
            </w:r>
            <w:r w:rsidRPr="006508B1">
              <w:rPr>
                <w:sz w:val="16"/>
                <w:szCs w:val="16"/>
              </w:rPr>
              <w:t xml:space="preserve"> requirements.</w:t>
            </w:r>
          </w:p>
          <w:p w14:paraId="0098BB6D" w14:textId="5E62989C" w:rsidR="006136A8" w:rsidRPr="006136A8" w:rsidRDefault="006136A8" w:rsidP="00035CD7">
            <w:pPr>
              <w:spacing w:before="0"/>
              <w:rPr>
                <w:b/>
                <w:bCs/>
                <w:sz w:val="16"/>
                <w:szCs w:val="16"/>
              </w:rPr>
            </w:pPr>
            <w:r w:rsidRPr="006136A8">
              <w:rPr>
                <w:b/>
                <w:bCs/>
                <w:sz w:val="16"/>
                <w:szCs w:val="16"/>
              </w:rPr>
              <w:t>Step 3</w:t>
            </w:r>
          </w:p>
          <w:p w14:paraId="4BDB5C59" w14:textId="0A6FDDB2" w:rsidR="0049237B" w:rsidRPr="006508B1" w:rsidRDefault="0049237B" w:rsidP="006508B1">
            <w:pPr>
              <w:pStyle w:val="ListParagraph"/>
              <w:numPr>
                <w:ilvl w:val="0"/>
                <w:numId w:val="1"/>
              </w:numPr>
              <w:spacing w:before="120" w:after="120"/>
              <w:ind w:left="601" w:hanging="425"/>
              <w:rPr>
                <w:sz w:val="16"/>
                <w:szCs w:val="16"/>
              </w:rPr>
            </w:pPr>
            <w:r w:rsidRPr="006508B1">
              <w:rPr>
                <w:sz w:val="16"/>
                <w:szCs w:val="16"/>
              </w:rPr>
              <w:t>As the main point of contact, maintain regular contact with the Delivery Agency following an event and have an awareness of the Delivery Agency claims in progress/draft. Facilitate the Delivery Agency to lodge claims throughout the financial year.</w:t>
            </w:r>
          </w:p>
          <w:p w14:paraId="39729EA5" w14:textId="77777777" w:rsidR="0049237B" w:rsidRPr="006508B1" w:rsidRDefault="0049237B" w:rsidP="006508B1">
            <w:pPr>
              <w:pStyle w:val="ListParagraph"/>
              <w:numPr>
                <w:ilvl w:val="0"/>
                <w:numId w:val="1"/>
              </w:numPr>
              <w:spacing w:before="120" w:after="120"/>
              <w:ind w:left="601" w:hanging="425"/>
              <w:rPr>
                <w:sz w:val="16"/>
                <w:szCs w:val="16"/>
              </w:rPr>
            </w:pPr>
            <w:r w:rsidRPr="006508B1">
              <w:rPr>
                <w:sz w:val="16"/>
                <w:szCs w:val="16"/>
              </w:rPr>
              <w:t>Review and recommend the certified estimate for essential public asset reconstruction works to the Administering Authority, ensuring that the estimate and supporting documentation is fully compliant.</w:t>
            </w:r>
          </w:p>
          <w:p w14:paraId="7D3CF163" w14:textId="77777777" w:rsidR="0049237B" w:rsidRPr="006508B1" w:rsidRDefault="0049237B" w:rsidP="006508B1">
            <w:pPr>
              <w:pStyle w:val="ListParagraph"/>
              <w:numPr>
                <w:ilvl w:val="0"/>
                <w:numId w:val="1"/>
              </w:numPr>
              <w:spacing w:before="120" w:after="120"/>
              <w:ind w:left="601" w:hanging="425"/>
              <w:rPr>
                <w:sz w:val="16"/>
                <w:szCs w:val="16"/>
              </w:rPr>
            </w:pPr>
            <w:r w:rsidRPr="006508B1">
              <w:rPr>
                <w:sz w:val="16"/>
                <w:szCs w:val="16"/>
              </w:rPr>
              <w:t>Conduct regular site inspections including progress works site inspections &amp; review of quarterly progress reporting for essential public asset reconstruction works.</w:t>
            </w:r>
          </w:p>
          <w:p w14:paraId="2F271688" w14:textId="77777777" w:rsidR="006136A8" w:rsidRDefault="0049237B" w:rsidP="006136A8">
            <w:pPr>
              <w:pStyle w:val="ListParagraph"/>
              <w:numPr>
                <w:ilvl w:val="0"/>
                <w:numId w:val="1"/>
              </w:numPr>
              <w:spacing w:before="120" w:after="120"/>
              <w:ind w:left="601" w:hanging="425"/>
              <w:rPr>
                <w:sz w:val="16"/>
                <w:szCs w:val="16"/>
              </w:rPr>
            </w:pPr>
            <w:r w:rsidRPr="006508B1">
              <w:rPr>
                <w:sz w:val="16"/>
                <w:szCs w:val="16"/>
              </w:rPr>
              <w:t>Review Position Descriptions for additional positions required by the Delivery Agency and make recommendations in consultation with the Administering Authority.</w:t>
            </w:r>
            <w:r w:rsidR="006136A8" w:rsidRPr="006508B1">
              <w:rPr>
                <w:sz w:val="16"/>
                <w:szCs w:val="16"/>
              </w:rPr>
              <w:t xml:space="preserve"> </w:t>
            </w:r>
          </w:p>
          <w:p w14:paraId="766FC0DB" w14:textId="77777777" w:rsidR="006136A8" w:rsidRPr="00991A7B" w:rsidRDefault="006136A8" w:rsidP="006136A8">
            <w:pPr>
              <w:pStyle w:val="ListParagraph"/>
              <w:numPr>
                <w:ilvl w:val="0"/>
                <w:numId w:val="1"/>
              </w:numPr>
              <w:spacing w:before="120" w:after="120"/>
              <w:ind w:left="601" w:hanging="425"/>
              <w:rPr>
                <w:sz w:val="16"/>
                <w:szCs w:val="16"/>
              </w:rPr>
            </w:pPr>
            <w:r w:rsidRPr="00991A7B">
              <w:rPr>
                <w:sz w:val="16"/>
                <w:szCs w:val="16"/>
              </w:rPr>
              <w:t>Receive and recommend the quarterly progress report prepared by a Delivery Agency and submit to the Administering Authority. Follow up with Delivery Agencies who have not prepared their quarterly progress report by the due date.</w:t>
            </w:r>
          </w:p>
          <w:p w14:paraId="006717E9" w14:textId="77777777" w:rsidR="006136A8" w:rsidRPr="006508B1" w:rsidRDefault="006136A8" w:rsidP="006136A8">
            <w:pPr>
              <w:pStyle w:val="ListParagraph"/>
              <w:numPr>
                <w:ilvl w:val="0"/>
                <w:numId w:val="1"/>
              </w:numPr>
              <w:spacing w:before="120" w:after="120"/>
              <w:ind w:left="601" w:hanging="425"/>
              <w:rPr>
                <w:sz w:val="16"/>
                <w:szCs w:val="16"/>
              </w:rPr>
            </w:pPr>
            <w:r w:rsidRPr="006508B1">
              <w:rPr>
                <w:sz w:val="16"/>
                <w:szCs w:val="16"/>
              </w:rPr>
              <w:t>Consider eligibility questions and make recommendations to the Administering Authority.</w:t>
            </w:r>
          </w:p>
          <w:p w14:paraId="0E0CFB26" w14:textId="77777777" w:rsidR="006136A8" w:rsidRPr="006508B1" w:rsidRDefault="006136A8" w:rsidP="006136A8">
            <w:pPr>
              <w:pStyle w:val="ListParagraph"/>
              <w:numPr>
                <w:ilvl w:val="0"/>
                <w:numId w:val="1"/>
              </w:numPr>
              <w:spacing w:before="120" w:after="120"/>
              <w:ind w:left="601" w:hanging="425"/>
              <w:rPr>
                <w:sz w:val="16"/>
                <w:szCs w:val="16"/>
              </w:rPr>
            </w:pPr>
            <w:r w:rsidRPr="006508B1">
              <w:rPr>
                <w:sz w:val="16"/>
                <w:szCs w:val="16"/>
              </w:rPr>
              <w:t>Consider Extension of Time requests and make recommendations to the Administering Authority.</w:t>
            </w:r>
          </w:p>
          <w:p w14:paraId="230B8872" w14:textId="77777777" w:rsidR="006136A8" w:rsidRPr="006508B1" w:rsidRDefault="006136A8" w:rsidP="006136A8">
            <w:pPr>
              <w:pStyle w:val="ListParagraph"/>
              <w:numPr>
                <w:ilvl w:val="0"/>
                <w:numId w:val="1"/>
              </w:numPr>
              <w:spacing w:before="120" w:after="120"/>
              <w:ind w:left="601" w:hanging="425"/>
              <w:rPr>
                <w:sz w:val="16"/>
                <w:szCs w:val="16"/>
              </w:rPr>
            </w:pPr>
            <w:r w:rsidRPr="006508B1">
              <w:rPr>
                <w:sz w:val="16"/>
                <w:szCs w:val="16"/>
              </w:rPr>
              <w:t>Receive</w:t>
            </w:r>
            <w:r>
              <w:rPr>
                <w:sz w:val="16"/>
                <w:szCs w:val="16"/>
              </w:rPr>
              <w:t xml:space="preserve">, assess and make a recommendation on </w:t>
            </w:r>
            <w:r w:rsidRPr="006508B1">
              <w:rPr>
                <w:sz w:val="16"/>
                <w:szCs w:val="16"/>
              </w:rPr>
              <w:t>funding advance applications</w:t>
            </w:r>
            <w:r>
              <w:rPr>
                <w:sz w:val="16"/>
                <w:szCs w:val="16"/>
              </w:rPr>
              <w:t xml:space="preserve"> from Delivery Agencies </w:t>
            </w:r>
            <w:r w:rsidRPr="006508B1">
              <w:rPr>
                <w:sz w:val="16"/>
                <w:szCs w:val="16"/>
              </w:rPr>
              <w:t>to the Administering Authority.</w:t>
            </w:r>
          </w:p>
          <w:p w14:paraId="3486FF4D" w14:textId="0C7E42A2" w:rsidR="0049237B" w:rsidRPr="006508B1" w:rsidRDefault="006136A8" w:rsidP="006136A8">
            <w:pPr>
              <w:pStyle w:val="ListParagraph"/>
              <w:numPr>
                <w:ilvl w:val="0"/>
                <w:numId w:val="1"/>
              </w:numPr>
              <w:spacing w:before="120" w:after="120"/>
              <w:ind w:left="601" w:hanging="425"/>
              <w:rPr>
                <w:sz w:val="16"/>
                <w:szCs w:val="16"/>
              </w:rPr>
            </w:pPr>
            <w:r w:rsidRPr="006508B1">
              <w:rPr>
                <w:sz w:val="16"/>
                <w:szCs w:val="16"/>
              </w:rPr>
              <w:t>Ensure that site inspections, training, and the assessment of certified estimates</w:t>
            </w:r>
            <w:r>
              <w:rPr>
                <w:sz w:val="16"/>
                <w:szCs w:val="16"/>
              </w:rPr>
              <w:t>,</w:t>
            </w:r>
            <w:r w:rsidRPr="006508B1">
              <w:rPr>
                <w:sz w:val="16"/>
                <w:szCs w:val="16"/>
              </w:rPr>
              <w:t xml:space="preserve"> claims and </w:t>
            </w:r>
            <w:r>
              <w:rPr>
                <w:sz w:val="16"/>
                <w:szCs w:val="16"/>
              </w:rPr>
              <w:t>e</w:t>
            </w:r>
            <w:r w:rsidRPr="006508B1">
              <w:rPr>
                <w:sz w:val="16"/>
                <w:szCs w:val="16"/>
              </w:rPr>
              <w:t xml:space="preserve">xtensions of </w:t>
            </w:r>
            <w:r>
              <w:rPr>
                <w:sz w:val="16"/>
                <w:szCs w:val="16"/>
              </w:rPr>
              <w:t>t</w:t>
            </w:r>
            <w:r w:rsidRPr="006508B1">
              <w:rPr>
                <w:sz w:val="16"/>
                <w:szCs w:val="16"/>
              </w:rPr>
              <w:t xml:space="preserve">ime </w:t>
            </w:r>
            <w:r>
              <w:rPr>
                <w:sz w:val="16"/>
                <w:szCs w:val="16"/>
              </w:rPr>
              <w:t>r</w:t>
            </w:r>
            <w:r w:rsidRPr="006508B1">
              <w:rPr>
                <w:sz w:val="16"/>
                <w:szCs w:val="16"/>
              </w:rPr>
              <w:t>equests are undertaken using a consistent approach and commentary across all Assessors.</w:t>
            </w:r>
          </w:p>
          <w:p w14:paraId="29892619" w14:textId="2586C7ED" w:rsidR="006136A8" w:rsidRPr="006136A8" w:rsidRDefault="006136A8" w:rsidP="00035CD7">
            <w:pPr>
              <w:spacing w:before="0"/>
              <w:rPr>
                <w:b/>
                <w:bCs/>
                <w:sz w:val="16"/>
                <w:szCs w:val="16"/>
              </w:rPr>
            </w:pPr>
            <w:r w:rsidRPr="006136A8">
              <w:rPr>
                <w:b/>
                <w:bCs/>
                <w:sz w:val="16"/>
                <w:szCs w:val="16"/>
              </w:rPr>
              <w:t>Step 4</w:t>
            </w:r>
          </w:p>
          <w:p w14:paraId="65501D98" w14:textId="77777777" w:rsidR="0049237B" w:rsidRDefault="0049237B" w:rsidP="006136A8">
            <w:pPr>
              <w:pStyle w:val="ListParagraph"/>
              <w:numPr>
                <w:ilvl w:val="0"/>
                <w:numId w:val="1"/>
              </w:numPr>
              <w:spacing w:before="120" w:after="120"/>
              <w:ind w:left="601" w:hanging="425"/>
              <w:rPr>
                <w:sz w:val="16"/>
                <w:szCs w:val="16"/>
              </w:rPr>
            </w:pPr>
            <w:r w:rsidRPr="006508B1">
              <w:rPr>
                <w:sz w:val="16"/>
                <w:szCs w:val="16"/>
              </w:rPr>
              <w:t xml:space="preserve">Review all claim documentation, complete the Validation Assessment Form with appropriate evidence notes </w:t>
            </w:r>
            <w:r w:rsidR="0029531F">
              <w:rPr>
                <w:sz w:val="16"/>
                <w:szCs w:val="16"/>
              </w:rPr>
              <w:t>and</w:t>
            </w:r>
            <w:r w:rsidRPr="006508B1">
              <w:rPr>
                <w:sz w:val="16"/>
                <w:szCs w:val="16"/>
              </w:rPr>
              <w:t xml:space="preserve"> provide a claim assessment recommendation to the Administering Authority.</w:t>
            </w:r>
          </w:p>
          <w:p w14:paraId="1EB139EC" w14:textId="5FCE3323" w:rsidR="006136A8" w:rsidRDefault="006136A8" w:rsidP="00035CD7">
            <w:pPr>
              <w:spacing w:before="0"/>
              <w:rPr>
                <w:b/>
                <w:bCs/>
                <w:sz w:val="16"/>
                <w:szCs w:val="16"/>
              </w:rPr>
            </w:pPr>
            <w:r>
              <w:rPr>
                <w:b/>
                <w:bCs/>
                <w:sz w:val="16"/>
                <w:szCs w:val="16"/>
              </w:rPr>
              <w:t xml:space="preserve">Additional support provided to </w:t>
            </w:r>
            <w:r w:rsidRPr="006136A8">
              <w:rPr>
                <w:b/>
                <w:bCs/>
                <w:sz w:val="16"/>
                <w:szCs w:val="16"/>
              </w:rPr>
              <w:t>Delivery Agencies</w:t>
            </w:r>
          </w:p>
          <w:p w14:paraId="1648E2F4" w14:textId="77777777" w:rsidR="006136A8" w:rsidRDefault="006136A8" w:rsidP="006136A8">
            <w:pPr>
              <w:pStyle w:val="ListParagraph"/>
              <w:numPr>
                <w:ilvl w:val="0"/>
                <w:numId w:val="1"/>
              </w:numPr>
              <w:spacing w:before="120" w:after="120"/>
              <w:ind w:left="601" w:hanging="425"/>
              <w:rPr>
                <w:sz w:val="16"/>
                <w:szCs w:val="16"/>
              </w:rPr>
            </w:pPr>
            <w:r w:rsidRPr="006136A8">
              <w:rPr>
                <w:sz w:val="16"/>
                <w:szCs w:val="16"/>
              </w:rPr>
              <w:t>Conduct DRFA general awareness training and ad-hoc training as requested by the Delivery Agency.</w:t>
            </w:r>
            <w:r w:rsidRPr="006508B1">
              <w:rPr>
                <w:sz w:val="16"/>
                <w:szCs w:val="16"/>
              </w:rPr>
              <w:t xml:space="preserve"> </w:t>
            </w:r>
          </w:p>
          <w:p w14:paraId="00347208" w14:textId="6EDECFAB" w:rsidR="006136A8" w:rsidRPr="006136A8" w:rsidRDefault="006136A8" w:rsidP="006136A8">
            <w:pPr>
              <w:pStyle w:val="ListParagraph"/>
              <w:numPr>
                <w:ilvl w:val="0"/>
                <w:numId w:val="1"/>
              </w:numPr>
              <w:spacing w:before="120" w:after="120"/>
              <w:ind w:left="601" w:hanging="425"/>
              <w:rPr>
                <w:sz w:val="16"/>
                <w:szCs w:val="16"/>
              </w:rPr>
            </w:pPr>
            <w:r w:rsidRPr="006508B1">
              <w:rPr>
                <w:sz w:val="16"/>
                <w:szCs w:val="16"/>
              </w:rPr>
              <w:t>In the event of a significant disaster occurring, Chair progress meetings with the impacted Delivery Agency and invite the Administering Authority.</w:t>
            </w:r>
          </w:p>
        </w:tc>
      </w:tr>
      <w:tr w:rsidR="0049237B" w:rsidRPr="00840993" w14:paraId="4CD54076" w14:textId="77777777" w:rsidTr="006E3BEF">
        <w:trPr>
          <w:cantSplit/>
          <w:trHeight w:val="6041"/>
        </w:trPr>
        <w:tc>
          <w:tcPr>
            <w:tcW w:w="528" w:type="dxa"/>
            <w:tcBorders>
              <w:top w:val="single" w:sz="4" w:space="0" w:color="auto"/>
            </w:tcBorders>
            <w:shd w:val="clear" w:color="auto" w:fill="657C9C" w:themeFill="text2" w:themeFillTint="BF"/>
            <w:textDirection w:val="btLr"/>
          </w:tcPr>
          <w:p w14:paraId="700DC0FA" w14:textId="7C5EA27C" w:rsidR="0049237B" w:rsidRPr="00840993" w:rsidRDefault="0049237B" w:rsidP="006508B1">
            <w:pPr>
              <w:ind w:left="113" w:right="113"/>
              <w:contextualSpacing/>
              <w:jc w:val="center"/>
              <w:rPr>
                <w:b/>
                <w:color w:val="FFFFFF" w:themeColor="background1"/>
                <w:sz w:val="16"/>
                <w:szCs w:val="16"/>
              </w:rPr>
            </w:pPr>
            <w:r w:rsidRPr="006E3BEF">
              <w:rPr>
                <w:b/>
                <w:color w:val="FFFFFF" w:themeColor="background1"/>
                <w:szCs w:val="20"/>
              </w:rPr>
              <w:lastRenderedPageBreak/>
              <w:t>Administering Authority</w:t>
            </w:r>
          </w:p>
        </w:tc>
        <w:tc>
          <w:tcPr>
            <w:tcW w:w="8222" w:type="dxa"/>
            <w:tcBorders>
              <w:top w:val="single" w:sz="4" w:space="0" w:color="2F5496" w:themeColor="accent1" w:themeShade="BF"/>
              <w:bottom w:val="single" w:sz="4" w:space="0" w:color="2F5496" w:themeColor="accent1" w:themeShade="BF"/>
              <w:right w:val="single" w:sz="4" w:space="0" w:color="2F5496" w:themeColor="accent1" w:themeShade="BF"/>
            </w:tcBorders>
          </w:tcPr>
          <w:p w14:paraId="2201E253" w14:textId="2E97A4EF" w:rsidR="00D86D13" w:rsidRPr="00385144" w:rsidRDefault="00D86D13" w:rsidP="00E97536">
            <w:pPr>
              <w:spacing w:before="0" w:after="120"/>
              <w:rPr>
                <w:b/>
                <w:bCs/>
                <w:sz w:val="16"/>
                <w:szCs w:val="16"/>
              </w:rPr>
            </w:pPr>
            <w:r w:rsidRPr="00385144">
              <w:rPr>
                <w:b/>
                <w:bCs/>
                <w:sz w:val="16"/>
                <w:szCs w:val="16"/>
              </w:rPr>
              <w:t>Administering Authority</w:t>
            </w:r>
            <w:r w:rsidR="00C926BA">
              <w:rPr>
                <w:b/>
                <w:bCs/>
                <w:sz w:val="16"/>
                <w:szCs w:val="16"/>
              </w:rPr>
              <w:t xml:space="preserve"> – Emergency Management Victoria</w:t>
            </w:r>
          </w:p>
          <w:p w14:paraId="279FAD22" w14:textId="3DEF235D" w:rsidR="001907B8" w:rsidRPr="001907B8" w:rsidRDefault="001907B8" w:rsidP="00035CD7">
            <w:pPr>
              <w:spacing w:before="0"/>
              <w:rPr>
                <w:b/>
                <w:bCs/>
                <w:sz w:val="16"/>
                <w:szCs w:val="16"/>
              </w:rPr>
            </w:pPr>
            <w:r w:rsidRPr="001907B8">
              <w:rPr>
                <w:b/>
                <w:bCs/>
                <w:sz w:val="16"/>
                <w:szCs w:val="16"/>
              </w:rPr>
              <w:t>Step 1</w:t>
            </w:r>
          </w:p>
          <w:p w14:paraId="5AB1306D" w14:textId="33002532" w:rsidR="0049237B" w:rsidRPr="006508B1" w:rsidRDefault="0049237B" w:rsidP="006508B1">
            <w:pPr>
              <w:pStyle w:val="ListParagraph"/>
              <w:numPr>
                <w:ilvl w:val="0"/>
                <w:numId w:val="2"/>
              </w:numPr>
              <w:spacing w:before="120" w:after="120"/>
              <w:ind w:left="601" w:hanging="425"/>
              <w:rPr>
                <w:sz w:val="16"/>
                <w:szCs w:val="16"/>
              </w:rPr>
            </w:pPr>
            <w:r w:rsidRPr="006508B1">
              <w:rPr>
                <w:sz w:val="16"/>
                <w:szCs w:val="16"/>
              </w:rPr>
              <w:t>Receive notification of an eligible disaster event from the Delivery Agency.</w:t>
            </w:r>
          </w:p>
          <w:p w14:paraId="5A9BBE4E" w14:textId="712D60DD" w:rsidR="0049237B" w:rsidRPr="006508B1" w:rsidRDefault="0049237B" w:rsidP="006508B1">
            <w:pPr>
              <w:pStyle w:val="ListParagraph"/>
              <w:numPr>
                <w:ilvl w:val="0"/>
                <w:numId w:val="2"/>
              </w:numPr>
              <w:spacing w:before="120" w:after="120"/>
              <w:ind w:left="601" w:hanging="425"/>
              <w:rPr>
                <w:sz w:val="16"/>
                <w:szCs w:val="16"/>
              </w:rPr>
            </w:pPr>
            <w:r w:rsidRPr="006508B1">
              <w:rPr>
                <w:sz w:val="16"/>
                <w:szCs w:val="16"/>
              </w:rPr>
              <w:t xml:space="preserve">Review </w:t>
            </w:r>
            <w:r w:rsidR="00D86D13">
              <w:rPr>
                <w:sz w:val="16"/>
                <w:szCs w:val="16"/>
              </w:rPr>
              <w:t xml:space="preserve">event </w:t>
            </w:r>
            <w:r w:rsidRPr="006508B1">
              <w:rPr>
                <w:sz w:val="16"/>
                <w:szCs w:val="16"/>
              </w:rPr>
              <w:t>notification</w:t>
            </w:r>
            <w:r w:rsidR="00D86D13">
              <w:rPr>
                <w:sz w:val="16"/>
                <w:szCs w:val="16"/>
              </w:rPr>
              <w:t>s received,</w:t>
            </w:r>
            <w:r w:rsidRPr="006508B1">
              <w:rPr>
                <w:sz w:val="16"/>
                <w:szCs w:val="16"/>
              </w:rPr>
              <w:t xml:space="preserve"> issue Delivery Agency DRFA summary process sheet and notify the Assessing Authority.</w:t>
            </w:r>
          </w:p>
          <w:p w14:paraId="23E0A814" w14:textId="77777777" w:rsidR="0049237B" w:rsidRPr="006508B1" w:rsidRDefault="0049237B" w:rsidP="006508B1">
            <w:pPr>
              <w:pStyle w:val="ListParagraph"/>
              <w:numPr>
                <w:ilvl w:val="0"/>
                <w:numId w:val="2"/>
              </w:numPr>
              <w:spacing w:before="120" w:after="120"/>
              <w:ind w:left="601" w:hanging="425"/>
              <w:rPr>
                <w:sz w:val="16"/>
                <w:szCs w:val="16"/>
              </w:rPr>
            </w:pPr>
            <w:r w:rsidRPr="006508B1">
              <w:rPr>
                <w:sz w:val="16"/>
                <w:szCs w:val="16"/>
              </w:rPr>
              <w:t>Prepare and submit the notification of event form to the Commonwealth Government for an AGRN to be registered.</w:t>
            </w:r>
          </w:p>
          <w:p w14:paraId="4473E1C1" w14:textId="632CFC3D" w:rsidR="001907B8" w:rsidRPr="001907B8" w:rsidRDefault="001907B8" w:rsidP="00035CD7">
            <w:pPr>
              <w:spacing w:before="0"/>
              <w:rPr>
                <w:b/>
                <w:bCs/>
                <w:sz w:val="16"/>
                <w:szCs w:val="16"/>
              </w:rPr>
            </w:pPr>
            <w:r w:rsidRPr="001907B8">
              <w:rPr>
                <w:b/>
                <w:bCs/>
                <w:sz w:val="16"/>
                <w:szCs w:val="16"/>
              </w:rPr>
              <w:t>Step 2</w:t>
            </w:r>
          </w:p>
          <w:p w14:paraId="7C9CD6C3" w14:textId="0BB78980" w:rsidR="0049237B" w:rsidRDefault="0049237B" w:rsidP="006508B1">
            <w:pPr>
              <w:pStyle w:val="ListParagraph"/>
              <w:numPr>
                <w:ilvl w:val="0"/>
                <w:numId w:val="2"/>
              </w:numPr>
              <w:spacing w:before="120" w:after="120"/>
              <w:ind w:left="601" w:hanging="425"/>
              <w:rPr>
                <w:sz w:val="16"/>
                <w:szCs w:val="16"/>
              </w:rPr>
            </w:pPr>
            <w:r w:rsidRPr="006508B1">
              <w:rPr>
                <w:sz w:val="16"/>
                <w:szCs w:val="16"/>
              </w:rPr>
              <w:t xml:space="preserve">Prepare a written notification to the Delivery Agency of the Commonwealth Government approved AGRN, which has </w:t>
            </w:r>
            <w:r w:rsidR="00C926BA">
              <w:rPr>
                <w:sz w:val="16"/>
                <w:szCs w:val="16"/>
              </w:rPr>
              <w:t xml:space="preserve">the </w:t>
            </w:r>
            <w:r w:rsidRPr="006508B1">
              <w:rPr>
                <w:sz w:val="16"/>
                <w:szCs w:val="16"/>
              </w:rPr>
              <w:t>impacted local government area</w:t>
            </w:r>
            <w:r w:rsidR="00D86D13">
              <w:rPr>
                <w:sz w:val="16"/>
                <w:szCs w:val="16"/>
              </w:rPr>
              <w:t>. The notification</w:t>
            </w:r>
            <w:r w:rsidRPr="006508B1">
              <w:rPr>
                <w:sz w:val="16"/>
                <w:szCs w:val="16"/>
              </w:rPr>
              <w:t xml:space="preserve"> includes the conditions of funding for Emergency Assistance for Individuals, Emergency Works, Immediate Reconstruction Works and Essential Public Asset Reconstruction Works Estimates claims (</w:t>
            </w:r>
            <w:r w:rsidR="0029531F">
              <w:rPr>
                <w:sz w:val="16"/>
                <w:szCs w:val="16"/>
              </w:rPr>
              <w:t>and</w:t>
            </w:r>
            <w:r w:rsidRPr="006508B1">
              <w:rPr>
                <w:sz w:val="16"/>
                <w:szCs w:val="16"/>
              </w:rPr>
              <w:t xml:space="preserve"> cc Assessing Authority).</w:t>
            </w:r>
          </w:p>
          <w:p w14:paraId="367AC0E1" w14:textId="683DE1F6" w:rsidR="001907B8" w:rsidRPr="001907B8" w:rsidRDefault="001907B8" w:rsidP="00035CD7">
            <w:pPr>
              <w:spacing w:before="0"/>
              <w:rPr>
                <w:b/>
                <w:bCs/>
                <w:sz w:val="16"/>
                <w:szCs w:val="16"/>
              </w:rPr>
            </w:pPr>
            <w:r w:rsidRPr="001907B8">
              <w:rPr>
                <w:b/>
                <w:bCs/>
                <w:sz w:val="16"/>
                <w:szCs w:val="16"/>
              </w:rPr>
              <w:t>Step 3</w:t>
            </w:r>
          </w:p>
          <w:p w14:paraId="27E7EC54" w14:textId="1A2C746A" w:rsidR="0049237B" w:rsidRPr="006508B1" w:rsidRDefault="0049237B" w:rsidP="006508B1">
            <w:pPr>
              <w:pStyle w:val="ListParagraph"/>
              <w:numPr>
                <w:ilvl w:val="0"/>
                <w:numId w:val="2"/>
              </w:numPr>
              <w:spacing w:before="120" w:after="120"/>
              <w:ind w:left="601" w:hanging="425"/>
              <w:rPr>
                <w:sz w:val="16"/>
                <w:szCs w:val="16"/>
              </w:rPr>
            </w:pPr>
            <w:r w:rsidRPr="006508B1">
              <w:rPr>
                <w:sz w:val="16"/>
                <w:szCs w:val="16"/>
              </w:rPr>
              <w:t>Prepare written approval of a certified estimate for Essential Public Asset Reconstruction works based on the recommendation of the Assessing Authority (and issuing approval letter &amp; cc Assessing Authority).</w:t>
            </w:r>
          </w:p>
          <w:p w14:paraId="0762252A" w14:textId="4EE14E31" w:rsidR="0049237B" w:rsidRPr="006508B1" w:rsidRDefault="0049237B" w:rsidP="006508B1">
            <w:pPr>
              <w:pStyle w:val="ListParagraph"/>
              <w:numPr>
                <w:ilvl w:val="0"/>
                <w:numId w:val="2"/>
              </w:numPr>
              <w:spacing w:before="120" w:after="120"/>
              <w:ind w:left="601" w:hanging="425"/>
              <w:rPr>
                <w:sz w:val="16"/>
                <w:szCs w:val="16"/>
              </w:rPr>
            </w:pPr>
            <w:r w:rsidRPr="006508B1">
              <w:rPr>
                <w:sz w:val="16"/>
                <w:szCs w:val="16"/>
              </w:rPr>
              <w:t xml:space="preserve">Consider and assess funding advance applications received from the Assessing Authority (issue a decision letter </w:t>
            </w:r>
            <w:r w:rsidR="0029531F">
              <w:rPr>
                <w:sz w:val="16"/>
                <w:szCs w:val="16"/>
              </w:rPr>
              <w:t>and</w:t>
            </w:r>
            <w:r w:rsidRPr="006508B1">
              <w:rPr>
                <w:sz w:val="16"/>
                <w:szCs w:val="16"/>
              </w:rPr>
              <w:t xml:space="preserve"> cc Assessing Authority).</w:t>
            </w:r>
          </w:p>
          <w:p w14:paraId="5B387D25" w14:textId="52A24B0C" w:rsidR="0049237B" w:rsidRPr="006508B1" w:rsidRDefault="0049237B" w:rsidP="006508B1">
            <w:pPr>
              <w:pStyle w:val="ListParagraph"/>
              <w:numPr>
                <w:ilvl w:val="0"/>
                <w:numId w:val="2"/>
              </w:numPr>
              <w:spacing w:before="120" w:after="120"/>
              <w:ind w:left="601" w:hanging="425"/>
              <w:rPr>
                <w:sz w:val="16"/>
                <w:szCs w:val="16"/>
              </w:rPr>
            </w:pPr>
            <w:r w:rsidRPr="006508B1">
              <w:rPr>
                <w:sz w:val="16"/>
                <w:szCs w:val="16"/>
              </w:rPr>
              <w:t>Undertake a</w:t>
            </w:r>
            <w:r w:rsidR="00D86D13">
              <w:rPr>
                <w:sz w:val="16"/>
                <w:szCs w:val="16"/>
              </w:rPr>
              <w:t>n initial</w:t>
            </w:r>
            <w:r w:rsidRPr="006508B1">
              <w:rPr>
                <w:sz w:val="16"/>
                <w:szCs w:val="16"/>
              </w:rPr>
              <w:t xml:space="preserve"> </w:t>
            </w:r>
            <w:r w:rsidR="001907B8" w:rsidRPr="006508B1">
              <w:rPr>
                <w:sz w:val="16"/>
                <w:szCs w:val="16"/>
              </w:rPr>
              <w:t>high-level</w:t>
            </w:r>
            <w:r w:rsidRPr="006508B1">
              <w:rPr>
                <w:sz w:val="16"/>
                <w:szCs w:val="16"/>
              </w:rPr>
              <w:t xml:space="preserve"> pre-check of claims lodged </w:t>
            </w:r>
            <w:r w:rsidR="00D86D13">
              <w:rPr>
                <w:sz w:val="16"/>
                <w:szCs w:val="16"/>
              </w:rPr>
              <w:t>to check</w:t>
            </w:r>
            <w:r w:rsidRPr="006508B1">
              <w:rPr>
                <w:sz w:val="16"/>
                <w:szCs w:val="16"/>
              </w:rPr>
              <w:t xml:space="preserve"> correct claim forms and required supporting information. Discuss observations with the Assessing Authority before returning the claim back to draft (if required) and cc the Assessing Authority in the email to the Delivery Agency.</w:t>
            </w:r>
          </w:p>
          <w:p w14:paraId="44221DE9" w14:textId="7C237B62" w:rsidR="0049237B" w:rsidRDefault="0049237B" w:rsidP="006508B1">
            <w:pPr>
              <w:pStyle w:val="ListParagraph"/>
              <w:numPr>
                <w:ilvl w:val="0"/>
                <w:numId w:val="2"/>
              </w:numPr>
              <w:spacing w:before="120" w:after="120"/>
              <w:ind w:left="601" w:hanging="425"/>
              <w:rPr>
                <w:sz w:val="16"/>
                <w:szCs w:val="16"/>
              </w:rPr>
            </w:pPr>
            <w:r w:rsidRPr="006508B1">
              <w:rPr>
                <w:sz w:val="16"/>
                <w:szCs w:val="16"/>
              </w:rPr>
              <w:t xml:space="preserve">Consider </w:t>
            </w:r>
            <w:r w:rsidR="00D86D13">
              <w:rPr>
                <w:sz w:val="16"/>
                <w:szCs w:val="16"/>
              </w:rPr>
              <w:t>e</w:t>
            </w:r>
            <w:r w:rsidRPr="006508B1">
              <w:rPr>
                <w:sz w:val="16"/>
                <w:szCs w:val="16"/>
              </w:rPr>
              <w:t xml:space="preserve">xtension of </w:t>
            </w:r>
            <w:r w:rsidR="00D86D13">
              <w:rPr>
                <w:sz w:val="16"/>
                <w:szCs w:val="16"/>
              </w:rPr>
              <w:t>t</w:t>
            </w:r>
            <w:r w:rsidRPr="006508B1">
              <w:rPr>
                <w:sz w:val="16"/>
                <w:szCs w:val="16"/>
              </w:rPr>
              <w:t>ime requests from the Delivery Agency once a recommendation is received by the Assessing Authority.</w:t>
            </w:r>
          </w:p>
          <w:p w14:paraId="78416804" w14:textId="172287EF" w:rsidR="00E97536" w:rsidRDefault="00E97536" w:rsidP="006508B1">
            <w:pPr>
              <w:pStyle w:val="ListParagraph"/>
              <w:numPr>
                <w:ilvl w:val="0"/>
                <w:numId w:val="2"/>
              </w:numPr>
              <w:spacing w:before="120" w:after="120"/>
              <w:ind w:left="601" w:hanging="425"/>
              <w:rPr>
                <w:sz w:val="16"/>
                <w:szCs w:val="16"/>
              </w:rPr>
            </w:pPr>
            <w:r>
              <w:rPr>
                <w:sz w:val="16"/>
                <w:szCs w:val="16"/>
              </w:rPr>
              <w:t xml:space="preserve">Provide final ruling on eligibility enquiries submitted by the Assessing Authority. </w:t>
            </w:r>
          </w:p>
          <w:p w14:paraId="22C59F90" w14:textId="09634F5C" w:rsidR="006136A8" w:rsidRPr="006136A8" w:rsidRDefault="006136A8" w:rsidP="00035CD7">
            <w:pPr>
              <w:spacing w:before="0"/>
              <w:rPr>
                <w:b/>
                <w:bCs/>
                <w:sz w:val="16"/>
                <w:szCs w:val="16"/>
              </w:rPr>
            </w:pPr>
            <w:r w:rsidRPr="006136A8">
              <w:rPr>
                <w:b/>
                <w:bCs/>
                <w:sz w:val="16"/>
                <w:szCs w:val="16"/>
              </w:rPr>
              <w:t>Step 4</w:t>
            </w:r>
          </w:p>
          <w:p w14:paraId="0285679C" w14:textId="77777777" w:rsidR="006136A8" w:rsidRPr="006508B1" w:rsidRDefault="006136A8" w:rsidP="006136A8">
            <w:pPr>
              <w:pStyle w:val="ListParagraph"/>
              <w:numPr>
                <w:ilvl w:val="0"/>
                <w:numId w:val="2"/>
              </w:numPr>
              <w:spacing w:before="120" w:after="120"/>
              <w:ind w:left="601" w:hanging="425"/>
              <w:rPr>
                <w:sz w:val="16"/>
                <w:szCs w:val="16"/>
              </w:rPr>
            </w:pPr>
            <w:r>
              <w:rPr>
                <w:sz w:val="16"/>
                <w:szCs w:val="16"/>
              </w:rPr>
              <w:t>R</w:t>
            </w:r>
            <w:r w:rsidRPr="006508B1">
              <w:rPr>
                <w:sz w:val="16"/>
                <w:szCs w:val="16"/>
              </w:rPr>
              <w:t>eimburse</w:t>
            </w:r>
            <w:r>
              <w:rPr>
                <w:sz w:val="16"/>
                <w:szCs w:val="16"/>
              </w:rPr>
              <w:t xml:space="preserve"> c</w:t>
            </w:r>
            <w:r w:rsidRPr="006508B1">
              <w:rPr>
                <w:sz w:val="16"/>
                <w:szCs w:val="16"/>
              </w:rPr>
              <w:t>laims following review and recommendation from the Assessing Authority. If questions arise from the review, refer questions/issues back to the Assessing Authority to address with the Delivery Agency.</w:t>
            </w:r>
          </w:p>
          <w:p w14:paraId="51BC69E6" w14:textId="23B014D6" w:rsidR="001907B8" w:rsidRPr="001907B8" w:rsidRDefault="00035CD7" w:rsidP="00035CD7">
            <w:pPr>
              <w:spacing w:before="0"/>
              <w:rPr>
                <w:b/>
                <w:bCs/>
                <w:sz w:val="16"/>
                <w:szCs w:val="16"/>
              </w:rPr>
            </w:pPr>
            <w:r>
              <w:rPr>
                <w:b/>
                <w:bCs/>
                <w:sz w:val="16"/>
                <w:szCs w:val="16"/>
              </w:rPr>
              <w:t xml:space="preserve">General DRFA systems and processes </w:t>
            </w:r>
          </w:p>
          <w:p w14:paraId="6BE25E91" w14:textId="4FD5A233" w:rsidR="0049237B" w:rsidRPr="006508B1" w:rsidRDefault="0049237B" w:rsidP="006508B1">
            <w:pPr>
              <w:pStyle w:val="ListParagraph"/>
              <w:numPr>
                <w:ilvl w:val="0"/>
                <w:numId w:val="2"/>
              </w:numPr>
              <w:spacing w:before="120" w:after="120"/>
              <w:ind w:left="601" w:hanging="425"/>
              <w:rPr>
                <w:sz w:val="16"/>
                <w:szCs w:val="16"/>
              </w:rPr>
            </w:pPr>
            <w:r w:rsidRPr="006508B1">
              <w:rPr>
                <w:sz w:val="16"/>
                <w:szCs w:val="16"/>
              </w:rPr>
              <w:t>Provide DRFA training and technical support to the Assessing Authority.</w:t>
            </w:r>
          </w:p>
          <w:p w14:paraId="6652C23B" w14:textId="77777777" w:rsidR="0049237B" w:rsidRPr="006508B1" w:rsidRDefault="0049237B" w:rsidP="006508B1">
            <w:pPr>
              <w:pStyle w:val="ListParagraph"/>
              <w:numPr>
                <w:ilvl w:val="0"/>
                <w:numId w:val="2"/>
              </w:numPr>
              <w:spacing w:before="120" w:after="120"/>
              <w:ind w:left="601" w:hanging="425"/>
              <w:rPr>
                <w:sz w:val="16"/>
                <w:szCs w:val="16"/>
              </w:rPr>
            </w:pPr>
            <w:r w:rsidRPr="006508B1">
              <w:rPr>
                <w:sz w:val="16"/>
                <w:szCs w:val="16"/>
              </w:rPr>
              <w:t>Respond to questions on the claims system platforms (Automated Claims Management System and Sharefile).</w:t>
            </w:r>
          </w:p>
          <w:p w14:paraId="0FF23E75" w14:textId="41658CF6" w:rsidR="0049237B" w:rsidRPr="006508B1" w:rsidRDefault="0049237B" w:rsidP="006508B1">
            <w:pPr>
              <w:pStyle w:val="ListParagraph"/>
              <w:numPr>
                <w:ilvl w:val="0"/>
                <w:numId w:val="2"/>
              </w:numPr>
              <w:spacing w:before="120" w:after="120"/>
              <w:ind w:left="601" w:hanging="425"/>
              <w:rPr>
                <w:sz w:val="16"/>
                <w:szCs w:val="16"/>
              </w:rPr>
            </w:pPr>
            <w:r w:rsidRPr="006508B1">
              <w:rPr>
                <w:sz w:val="16"/>
                <w:szCs w:val="16"/>
              </w:rPr>
              <w:t>Maintain the DRFA guidance/template material development and updates on the EMV website</w:t>
            </w:r>
            <w:r w:rsidR="00EF36B5">
              <w:rPr>
                <w:sz w:val="16"/>
                <w:szCs w:val="16"/>
              </w:rPr>
              <w:t xml:space="preserve"> including registered natural disaster events and key allowable time limits</w:t>
            </w:r>
            <w:r w:rsidRPr="006508B1">
              <w:rPr>
                <w:sz w:val="16"/>
                <w:szCs w:val="16"/>
              </w:rPr>
              <w:t>.</w:t>
            </w:r>
          </w:p>
          <w:p w14:paraId="5B52CCFE" w14:textId="1E9C9824" w:rsidR="0049237B" w:rsidRPr="006508B1" w:rsidRDefault="0049237B" w:rsidP="006508B1">
            <w:pPr>
              <w:pStyle w:val="ListParagraph"/>
              <w:numPr>
                <w:ilvl w:val="0"/>
                <w:numId w:val="2"/>
              </w:numPr>
              <w:spacing w:before="120" w:after="120"/>
              <w:ind w:left="601" w:hanging="425"/>
              <w:rPr>
                <w:sz w:val="16"/>
                <w:szCs w:val="16"/>
              </w:rPr>
            </w:pPr>
            <w:r w:rsidRPr="006508B1">
              <w:rPr>
                <w:sz w:val="16"/>
                <w:szCs w:val="16"/>
              </w:rPr>
              <w:t xml:space="preserve">Provide general process correspondence </w:t>
            </w:r>
            <w:r w:rsidR="004B5D7C">
              <w:rPr>
                <w:sz w:val="16"/>
                <w:szCs w:val="16"/>
              </w:rPr>
              <w:t>(</w:t>
            </w:r>
            <w:r w:rsidRPr="006508B1">
              <w:rPr>
                <w:sz w:val="16"/>
                <w:szCs w:val="16"/>
              </w:rPr>
              <w:t xml:space="preserve">that is not claim specific </w:t>
            </w:r>
            <w:r w:rsidR="004B5D7C">
              <w:rPr>
                <w:sz w:val="16"/>
                <w:szCs w:val="16"/>
              </w:rPr>
              <w:t xml:space="preserve">eg. </w:t>
            </w:r>
            <w:r w:rsidRPr="006508B1">
              <w:rPr>
                <w:sz w:val="16"/>
                <w:szCs w:val="16"/>
              </w:rPr>
              <w:t>estimate updates, EoFY requirements).</w:t>
            </w:r>
          </w:p>
          <w:p w14:paraId="53CC21EF" w14:textId="77777777" w:rsidR="001907B8" w:rsidRPr="006508B1" w:rsidRDefault="001907B8" w:rsidP="001907B8">
            <w:pPr>
              <w:pStyle w:val="ListParagraph"/>
              <w:numPr>
                <w:ilvl w:val="0"/>
                <w:numId w:val="2"/>
              </w:numPr>
              <w:spacing w:before="120" w:after="120"/>
              <w:ind w:left="601" w:hanging="425"/>
              <w:rPr>
                <w:sz w:val="16"/>
                <w:szCs w:val="16"/>
              </w:rPr>
            </w:pPr>
            <w:r w:rsidRPr="006508B1">
              <w:rPr>
                <w:sz w:val="16"/>
                <w:szCs w:val="16"/>
              </w:rPr>
              <w:t>Engage an Independent Technical Reviewer in line with requirements under the DRFA.</w:t>
            </w:r>
          </w:p>
          <w:p w14:paraId="74D96A33" w14:textId="593EADF5" w:rsidR="001907B8" w:rsidRPr="006508B1" w:rsidRDefault="001907B8" w:rsidP="001907B8">
            <w:pPr>
              <w:pStyle w:val="ListParagraph"/>
              <w:numPr>
                <w:ilvl w:val="0"/>
                <w:numId w:val="2"/>
              </w:numPr>
              <w:spacing w:before="120" w:after="120"/>
              <w:ind w:left="601" w:hanging="425"/>
              <w:rPr>
                <w:sz w:val="16"/>
                <w:szCs w:val="16"/>
              </w:rPr>
            </w:pPr>
            <w:r w:rsidRPr="006508B1">
              <w:rPr>
                <w:sz w:val="16"/>
                <w:szCs w:val="16"/>
              </w:rPr>
              <w:t>Respond to escalated issues for resolution</w:t>
            </w:r>
            <w:r>
              <w:rPr>
                <w:sz w:val="16"/>
                <w:szCs w:val="16"/>
              </w:rPr>
              <w:t xml:space="preserve"> from both the Assessing Authority and/or the Delivery Agency</w:t>
            </w:r>
            <w:r w:rsidRPr="006508B1">
              <w:rPr>
                <w:sz w:val="16"/>
                <w:szCs w:val="16"/>
              </w:rPr>
              <w:t>.</w:t>
            </w:r>
          </w:p>
          <w:p w14:paraId="1E0E399B" w14:textId="12020F29" w:rsidR="001907B8" w:rsidRPr="001907B8" w:rsidRDefault="001907B8" w:rsidP="00035CD7">
            <w:pPr>
              <w:spacing w:before="0"/>
              <w:rPr>
                <w:b/>
                <w:bCs/>
                <w:sz w:val="16"/>
                <w:szCs w:val="16"/>
              </w:rPr>
            </w:pPr>
            <w:r w:rsidRPr="001907B8">
              <w:rPr>
                <w:b/>
                <w:bCs/>
                <w:sz w:val="16"/>
                <w:szCs w:val="16"/>
              </w:rPr>
              <w:t xml:space="preserve">Commonwealth </w:t>
            </w:r>
            <w:r w:rsidR="00C926BA">
              <w:rPr>
                <w:b/>
                <w:bCs/>
                <w:sz w:val="16"/>
                <w:szCs w:val="16"/>
              </w:rPr>
              <w:t xml:space="preserve">Engagement </w:t>
            </w:r>
          </w:p>
          <w:p w14:paraId="582A887A" w14:textId="4235C194" w:rsidR="00C926BA" w:rsidRDefault="00C926BA" w:rsidP="006508B1">
            <w:pPr>
              <w:pStyle w:val="ListParagraph"/>
              <w:numPr>
                <w:ilvl w:val="0"/>
                <w:numId w:val="2"/>
              </w:numPr>
              <w:spacing w:before="120" w:after="120"/>
              <w:ind w:left="601" w:hanging="425"/>
              <w:rPr>
                <w:sz w:val="16"/>
                <w:szCs w:val="16"/>
              </w:rPr>
            </w:pPr>
            <w:r w:rsidRPr="006508B1">
              <w:rPr>
                <w:sz w:val="16"/>
                <w:szCs w:val="16"/>
              </w:rPr>
              <w:t>Maintain Commonwealth Government stakeholder relationship engagement and management.</w:t>
            </w:r>
          </w:p>
          <w:p w14:paraId="16B8F7E1" w14:textId="03CC7A32" w:rsidR="0049237B" w:rsidRPr="006508B1" w:rsidRDefault="00225455" w:rsidP="006508B1">
            <w:pPr>
              <w:pStyle w:val="ListParagraph"/>
              <w:numPr>
                <w:ilvl w:val="0"/>
                <w:numId w:val="2"/>
              </w:numPr>
              <w:spacing w:before="120" w:after="120"/>
              <w:ind w:left="601" w:hanging="425"/>
              <w:rPr>
                <w:sz w:val="16"/>
                <w:szCs w:val="16"/>
              </w:rPr>
            </w:pPr>
            <w:r>
              <w:rPr>
                <w:sz w:val="16"/>
                <w:szCs w:val="16"/>
              </w:rPr>
              <w:t xml:space="preserve">Undertake </w:t>
            </w:r>
            <w:r w:rsidRPr="006508B1">
              <w:rPr>
                <w:sz w:val="16"/>
                <w:szCs w:val="16"/>
              </w:rPr>
              <w:t>quality</w:t>
            </w:r>
            <w:r w:rsidR="0049237B" w:rsidRPr="006508B1">
              <w:rPr>
                <w:sz w:val="16"/>
                <w:szCs w:val="16"/>
              </w:rPr>
              <w:t xml:space="preserve"> assurance reviews and assurance </w:t>
            </w:r>
            <w:r w:rsidR="00EF36B5">
              <w:rPr>
                <w:sz w:val="16"/>
                <w:szCs w:val="16"/>
              </w:rPr>
              <w:t xml:space="preserve">activities </w:t>
            </w:r>
            <w:r w:rsidR="0049237B" w:rsidRPr="006508B1">
              <w:rPr>
                <w:sz w:val="16"/>
                <w:szCs w:val="16"/>
              </w:rPr>
              <w:t>including self-assessments of the assurance control framework.</w:t>
            </w:r>
          </w:p>
          <w:p w14:paraId="55C0499F" w14:textId="2B402400" w:rsidR="0049237B" w:rsidRPr="006136A8" w:rsidRDefault="0049237B" w:rsidP="006136A8">
            <w:pPr>
              <w:pStyle w:val="ListParagraph"/>
              <w:numPr>
                <w:ilvl w:val="0"/>
                <w:numId w:val="2"/>
              </w:numPr>
              <w:spacing w:before="120" w:after="120"/>
              <w:ind w:left="601" w:hanging="425"/>
              <w:rPr>
                <w:sz w:val="16"/>
                <w:szCs w:val="16"/>
              </w:rPr>
            </w:pPr>
            <w:r w:rsidRPr="006508B1">
              <w:rPr>
                <w:sz w:val="16"/>
                <w:szCs w:val="16"/>
              </w:rPr>
              <w:t xml:space="preserve">Manage the </w:t>
            </w:r>
            <w:r w:rsidR="00C926BA">
              <w:rPr>
                <w:sz w:val="16"/>
                <w:szCs w:val="16"/>
              </w:rPr>
              <w:t xml:space="preserve">annual </w:t>
            </w:r>
            <w:r w:rsidRPr="006508B1">
              <w:rPr>
                <w:sz w:val="16"/>
                <w:szCs w:val="16"/>
              </w:rPr>
              <w:t>audit engagement with State and Commonwealth appointed auditors.</w:t>
            </w:r>
          </w:p>
        </w:tc>
      </w:tr>
    </w:tbl>
    <w:p w14:paraId="187B1388" w14:textId="77777777" w:rsidR="006E3BEF" w:rsidRPr="00E97536" w:rsidRDefault="006E3BEF" w:rsidP="00E97536">
      <w:pPr>
        <w:spacing w:before="0" w:after="0"/>
        <w:rPr>
          <w:sz w:val="18"/>
          <w:szCs w:val="16"/>
        </w:rPr>
      </w:pPr>
      <w:r w:rsidRPr="00E97536">
        <w:rPr>
          <w:sz w:val="18"/>
          <w:szCs w:val="16"/>
        </w:rPr>
        <w:t>Journey Map to be reviewed and updated by end of February each year.</w:t>
      </w:r>
    </w:p>
    <w:sectPr w:rsidR="006E3BEF" w:rsidRPr="00E975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E10F5" w14:textId="77777777" w:rsidR="0049237B" w:rsidRDefault="0049237B" w:rsidP="0049237B">
      <w:pPr>
        <w:spacing w:before="0" w:after="0"/>
      </w:pPr>
      <w:r>
        <w:separator/>
      </w:r>
    </w:p>
  </w:endnote>
  <w:endnote w:type="continuationSeparator" w:id="0">
    <w:p w14:paraId="09A96714" w14:textId="77777777" w:rsidR="0049237B" w:rsidRDefault="0049237B" w:rsidP="004923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BBCD" w14:textId="77777777" w:rsidR="0049237B" w:rsidRDefault="0049237B" w:rsidP="0049237B">
      <w:pPr>
        <w:spacing w:before="0" w:after="0"/>
      </w:pPr>
      <w:r>
        <w:separator/>
      </w:r>
    </w:p>
  </w:footnote>
  <w:footnote w:type="continuationSeparator" w:id="0">
    <w:p w14:paraId="2A97BACF" w14:textId="77777777" w:rsidR="0049237B" w:rsidRDefault="0049237B" w:rsidP="004923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3208"/>
    <w:multiLevelType w:val="hybridMultilevel"/>
    <w:tmpl w:val="A46E9922"/>
    <w:lvl w:ilvl="0" w:tplc="445E17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91A12"/>
    <w:multiLevelType w:val="hybridMultilevel"/>
    <w:tmpl w:val="DF94E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A62B9A"/>
    <w:multiLevelType w:val="hybridMultilevel"/>
    <w:tmpl w:val="BA144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23"/>
    <w:rsid w:val="00003265"/>
    <w:rsid w:val="00035CD7"/>
    <w:rsid w:val="0006347A"/>
    <w:rsid w:val="001907B8"/>
    <w:rsid w:val="001A391A"/>
    <w:rsid w:val="001F607A"/>
    <w:rsid w:val="00225455"/>
    <w:rsid w:val="0029531F"/>
    <w:rsid w:val="00327762"/>
    <w:rsid w:val="0035668B"/>
    <w:rsid w:val="003724AF"/>
    <w:rsid w:val="00385144"/>
    <w:rsid w:val="003924F8"/>
    <w:rsid w:val="00451BB9"/>
    <w:rsid w:val="004613F2"/>
    <w:rsid w:val="0049237B"/>
    <w:rsid w:val="004B5D7C"/>
    <w:rsid w:val="00502443"/>
    <w:rsid w:val="00513B88"/>
    <w:rsid w:val="006136A8"/>
    <w:rsid w:val="006508B1"/>
    <w:rsid w:val="006C5CAA"/>
    <w:rsid w:val="006E3BEF"/>
    <w:rsid w:val="00780A20"/>
    <w:rsid w:val="0078585D"/>
    <w:rsid w:val="007C3024"/>
    <w:rsid w:val="00840993"/>
    <w:rsid w:val="009265D2"/>
    <w:rsid w:val="00991A7B"/>
    <w:rsid w:val="00994CC7"/>
    <w:rsid w:val="00A308DF"/>
    <w:rsid w:val="00A46E04"/>
    <w:rsid w:val="00A84544"/>
    <w:rsid w:val="00AA5523"/>
    <w:rsid w:val="00B410A5"/>
    <w:rsid w:val="00BD0252"/>
    <w:rsid w:val="00C535A6"/>
    <w:rsid w:val="00C926BA"/>
    <w:rsid w:val="00CB37D6"/>
    <w:rsid w:val="00CC0FF0"/>
    <w:rsid w:val="00CD3DD4"/>
    <w:rsid w:val="00D027EA"/>
    <w:rsid w:val="00D86D13"/>
    <w:rsid w:val="00DD04B8"/>
    <w:rsid w:val="00E86215"/>
    <w:rsid w:val="00E90AF7"/>
    <w:rsid w:val="00E97536"/>
    <w:rsid w:val="00EC63F3"/>
    <w:rsid w:val="00EE7847"/>
    <w:rsid w:val="00EF36B5"/>
    <w:rsid w:val="00F41575"/>
    <w:rsid w:val="00F576C6"/>
    <w:rsid w:val="00FC7F43"/>
    <w:rsid w:val="00FE6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7BA1CC"/>
  <w15:chartTrackingRefBased/>
  <w15:docId w15:val="{52729286-27C4-4804-AA4C-47B91359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A5523"/>
    <w:pPr>
      <w:spacing w:before="160" w:line="240" w:lineRule="auto"/>
    </w:pPr>
    <w:rPr>
      <w:color w:val="000000" w:themeColor="text1"/>
      <w:sz w:val="20"/>
      <w:szCs w:val="18"/>
    </w:rPr>
  </w:style>
  <w:style w:type="paragraph" w:styleId="Heading1">
    <w:name w:val="heading 1"/>
    <w:basedOn w:val="Normal"/>
    <w:next w:val="Normal"/>
    <w:link w:val="Heading1Char"/>
    <w:uiPriority w:val="9"/>
    <w:qFormat/>
    <w:rsid w:val="00492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523"/>
    <w:pPr>
      <w:ind w:left="720"/>
      <w:contextualSpacing/>
    </w:pPr>
  </w:style>
  <w:style w:type="paragraph" w:styleId="BalloonText">
    <w:name w:val="Balloon Text"/>
    <w:basedOn w:val="Normal"/>
    <w:link w:val="BalloonTextChar"/>
    <w:uiPriority w:val="99"/>
    <w:semiHidden/>
    <w:unhideWhenUsed/>
    <w:rsid w:val="00CD3DD4"/>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CD3DD4"/>
    <w:rPr>
      <w:rFonts w:ascii="Segoe UI" w:hAnsi="Segoe UI" w:cs="Segoe UI"/>
      <w:color w:val="000000" w:themeColor="text1"/>
      <w:sz w:val="18"/>
      <w:szCs w:val="18"/>
    </w:rPr>
  </w:style>
  <w:style w:type="character" w:customStyle="1" w:styleId="Heading1Char">
    <w:name w:val="Heading 1 Char"/>
    <w:basedOn w:val="DefaultParagraphFont"/>
    <w:link w:val="Heading1"/>
    <w:uiPriority w:val="9"/>
    <w:rsid w:val="0049237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9237B"/>
    <w:pPr>
      <w:tabs>
        <w:tab w:val="center" w:pos="4513"/>
        <w:tab w:val="right" w:pos="9026"/>
      </w:tabs>
      <w:spacing w:before="0" w:after="0"/>
    </w:pPr>
  </w:style>
  <w:style w:type="character" w:customStyle="1" w:styleId="HeaderChar">
    <w:name w:val="Header Char"/>
    <w:basedOn w:val="DefaultParagraphFont"/>
    <w:link w:val="Header"/>
    <w:uiPriority w:val="99"/>
    <w:rsid w:val="0049237B"/>
    <w:rPr>
      <w:color w:val="000000" w:themeColor="text1"/>
      <w:sz w:val="20"/>
      <w:szCs w:val="18"/>
    </w:rPr>
  </w:style>
  <w:style w:type="paragraph" w:styleId="Footer">
    <w:name w:val="footer"/>
    <w:basedOn w:val="Normal"/>
    <w:link w:val="FooterChar"/>
    <w:uiPriority w:val="99"/>
    <w:unhideWhenUsed/>
    <w:rsid w:val="0049237B"/>
    <w:pPr>
      <w:tabs>
        <w:tab w:val="center" w:pos="4513"/>
        <w:tab w:val="right" w:pos="9026"/>
      </w:tabs>
      <w:spacing w:before="0" w:after="0"/>
    </w:pPr>
  </w:style>
  <w:style w:type="character" w:customStyle="1" w:styleId="FooterChar">
    <w:name w:val="Footer Char"/>
    <w:basedOn w:val="DefaultParagraphFont"/>
    <w:link w:val="Footer"/>
    <w:uiPriority w:val="99"/>
    <w:rsid w:val="0049237B"/>
    <w:rPr>
      <w:color w:val="000000" w:themeColor="text1"/>
      <w:sz w:val="20"/>
      <w:szCs w:val="18"/>
    </w:rPr>
  </w:style>
  <w:style w:type="character" w:styleId="Hyperlink">
    <w:name w:val="Hyperlink"/>
    <w:basedOn w:val="DefaultParagraphFont"/>
    <w:uiPriority w:val="99"/>
    <w:unhideWhenUsed/>
    <w:rsid w:val="003924F8"/>
    <w:rPr>
      <w:color w:val="0563C1" w:themeColor="hyperlink"/>
      <w:u w:val="single"/>
    </w:rPr>
  </w:style>
  <w:style w:type="character" w:styleId="UnresolvedMention">
    <w:name w:val="Unresolved Mention"/>
    <w:basedOn w:val="DefaultParagraphFont"/>
    <w:uiPriority w:val="99"/>
    <w:semiHidden/>
    <w:unhideWhenUsed/>
    <w:rsid w:val="00392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v.vic.gov.au/how-we-help/disaster-recovery-funding-arrangements-drfa/disaster-recovery-funding-arrangements-dr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941</Words>
  <Characters>5365</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2021-05-03T00:43:00Z</dcterms:created>
  <dcterms:modified xsi:type="dcterms:W3CDTF">2021-05-03T00:49:00Z</dcterms:modified>
</cp:coreProperties>
</file>